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7D" w:rsidRDefault="00F6784D">
      <w:pPr>
        <w:pStyle w:val="normal0"/>
        <w:spacing w:before="5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 CORPO FEMININO NA MÍDIA: UMA ANALISE EM REVISTAS ONLINE VOLTADAS PARA ADOLESCENTES</w:t>
      </w:r>
    </w:p>
    <w:p w:rsidR="00513E7D" w:rsidRDefault="00513E7D">
      <w:pPr>
        <w:pStyle w:val="normal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E7D" w:rsidRDefault="00F6784D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Estudantes: Mariana Oliveira Lopes e Ana Laura Alves Medeiros</w:t>
      </w:r>
    </w:p>
    <w:p w:rsidR="00513E7D" w:rsidRDefault="00F6784D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Orientadores: Karina Estela Costa</w:t>
      </w:r>
    </w:p>
    <w:p w:rsidR="00513E7D" w:rsidRDefault="00F6784D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Escola: IFTM Campus Uberlândia Centro</w:t>
      </w:r>
    </w:p>
    <w:p w:rsidR="00513E7D" w:rsidRDefault="00F6784D">
      <w:pPr>
        <w:pStyle w:val="normal0"/>
        <w:keepNext/>
        <w:spacing w:before="120"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513E7D" w:rsidRDefault="00F6784D">
      <w:pPr>
        <w:pStyle w:val="normal0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Analisando o corpo como objeto representado pela cultura e pela imprensa, o objetivo deste trabalho foi investigar a educação dos corpos femininos em revistas voltadas para adolescentes, e averiguar como essa educação investe em determinados tipos de padrõ</w:t>
      </w:r>
      <w:r>
        <w:rPr>
          <w:rFonts w:ascii="Times New Roman" w:eastAsia="Times New Roman" w:hAnsi="Times New Roman" w:cs="Times New Roman"/>
        </w:rPr>
        <w:t>es corporais, bem como o quanto estas revistas são formadoras de opiniões. O método de pesquisa adotado foi o qualitativo, com levantamento bibliográfico e análise documental. Após análise das revistas Capricho e da norte-americana Seventeen, observou-se q</w:t>
      </w:r>
      <w:r>
        <w:rPr>
          <w:rFonts w:ascii="Times New Roman" w:eastAsia="Times New Roman" w:hAnsi="Times New Roman" w:cs="Times New Roman"/>
        </w:rPr>
        <w:t>ue ambas repercutem padrões de beleza e de comportamento.</w:t>
      </w:r>
    </w:p>
    <w:p w:rsidR="00513E7D" w:rsidRDefault="00F6784D">
      <w:pPr>
        <w:pStyle w:val="normal0"/>
        <w:spacing w:after="6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>: Corpo feminino, imprensa, cultura, revistas.</w:t>
      </w:r>
    </w:p>
    <w:p w:rsidR="00513E7D" w:rsidRDefault="00F6784D">
      <w:pPr>
        <w:pStyle w:val="normal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e justificativa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imprensa feminina é lócus de produções culturais entre corpo, sujeito, conhecimento e poder. Em uma relação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ambígua, paradoxal e cheia de contradições, essa imprensa é utilizada na construção da identidade da mulher, com a imposição de padrões corporais e comportamentais.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imprensa brasileira desde o início do século XX apresenta ideais estereotipados de belez</w:t>
      </w:r>
      <w:r>
        <w:rPr>
          <w:rFonts w:ascii="Times New Roman" w:eastAsia="Times New Roman" w:hAnsi="Times New Roman" w:cs="Times New Roman"/>
          <w:sz w:val="24"/>
          <w:szCs w:val="24"/>
        </w:rPr>
        <w:t>a em relação ao corpo feminino. Para Buitoni (2009), que faz uma análise histórica de revistas femininas a partir de 1900, essa imprensa reforçava o papel social da mulher como dona de casa, esposa, mãe e consumidora. Na imprensa feminina, a mulher está, m</w:t>
      </w:r>
      <w:r>
        <w:rPr>
          <w:rFonts w:ascii="Times New Roman" w:eastAsia="Times New Roman" w:hAnsi="Times New Roman" w:cs="Times New Roman"/>
          <w:sz w:val="24"/>
          <w:szCs w:val="24"/>
        </w:rPr>
        <w:t>etafórica e metonimicamente, ligada aos seus papéis básicos: dona de casa, esposa, mãe, principalmente até os anos 1970. O termo de comparação de mulher é sempre um signo de trabalho doméstico, casamento, maternidade. Igualmente, a contiguidade opera na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reção lar, marido, filhos. Sabe cozinhar e arrumar como uma formiga laboriosa; é companheira e delicada, mãe doce e suave.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Suas frases já vêm predeterminadas: seus predicados e objetos organizam-se em sintagmas pela continuidade óbvia e natural das coisas </w:t>
      </w:r>
      <w:r>
        <w:rPr>
          <w:rFonts w:ascii="Times New Roman" w:eastAsia="Times New Roman" w:hAnsi="Times New Roman" w:cs="Times New Roman"/>
          <w:sz w:val="24"/>
          <w:szCs w:val="24"/>
        </w:rPr>
        <w:t>que sempre estiveram juntas. Já nos anos 1960 aparecia uma tendência que privilegiava a consumidora. E, mais do que mãe ou esposa, o status de namorada foi se fortalecendo. (Buitoni, D. S. 2009: 200). A padronização da beleza é uma construção social e se e</w:t>
      </w:r>
      <w:r>
        <w:rPr>
          <w:rFonts w:ascii="Times New Roman" w:eastAsia="Times New Roman" w:hAnsi="Times New Roman" w:cs="Times New Roman"/>
          <w:sz w:val="24"/>
          <w:szCs w:val="24"/>
        </w:rPr>
        <w:t>stabelece em meio a relações de poder hierárquicas. Foucault (1971) analisa o saber e o poder nas relações sociais, que estabelecem uma relação estreita entre o conhecimento e o poder da coletividade, com a ideologia da vantagem individual se sobrepondo so</w:t>
      </w:r>
      <w:r>
        <w:rPr>
          <w:rFonts w:ascii="Times New Roman" w:eastAsia="Times New Roman" w:hAnsi="Times New Roman" w:cs="Times New Roman"/>
          <w:sz w:val="24"/>
          <w:szCs w:val="24"/>
        </w:rPr>
        <w:t>bre o pensamento coletivo. Isso gera um controle estratégico pelos que possuem conhecimento e, consequentemente, o poder. Entretanto, é importante ressaltar que essas representações ideais de corpo são mutáveis e variáveis, transmutando-se de acordo com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relações de poder que vigoram em determinada época.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 aspecto im</w:t>
      </w:r>
      <w:r w:rsidR="006F5347">
        <w:rPr>
          <w:rFonts w:ascii="Times New Roman" w:eastAsia="Times New Roman" w:hAnsi="Times New Roman" w:cs="Times New Roman"/>
          <w:sz w:val="24"/>
          <w:szCs w:val="24"/>
        </w:rPr>
        <w:t>portante para debate e reflexão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a relação que a imprensa estabelece com a sociedade no que tange à reprodução de discursos e representações da mulher como sexo inferior, reforçando pr</w:t>
      </w:r>
      <w:r>
        <w:rPr>
          <w:rFonts w:ascii="Times New Roman" w:eastAsia="Times New Roman" w:hAnsi="Times New Roman" w:cs="Times New Roman"/>
          <w:sz w:val="24"/>
          <w:szCs w:val="24"/>
        </w:rPr>
        <w:t>ocessos de desigualdades sociais. Nesse aspecto, as relações de poder transcendem a conquista do corpo ideal, da juventude e da pela beleza externa</w:t>
      </w:r>
    </w:p>
    <w:p w:rsidR="00513E7D" w:rsidRDefault="00F6784D">
      <w:pPr>
        <w:pStyle w:val="normal0"/>
        <w:keepNext/>
        <w:spacing w:before="640"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Investigar a educação dos corpos femininos em revistas online voltadas para adolescentes, e como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ssa educação investe em determinados tipos de padrões corporais, bem como o quanto estas revistas são formadoras de opiniões. Além de Analisar as relações hegemônicas de gênero na imprensa, identificar os processos que legitimaram os moldes contemporâneos </w:t>
      </w:r>
      <w:r>
        <w:rPr>
          <w:rFonts w:ascii="Times New Roman" w:eastAsia="Times New Roman" w:hAnsi="Times New Roman" w:cs="Times New Roman"/>
          <w:sz w:val="24"/>
          <w:szCs w:val="24"/>
        </w:rPr>
        <w:t>da educação nos corpos, refletir a imprensa enquanto instância cultural, prática social e política, compreender os estudos culturais e os estudos feministas e desenvolver uma análise do processo de construção histórica do corpo feminino na imprensa brasile</w:t>
      </w:r>
      <w:r>
        <w:rPr>
          <w:rFonts w:ascii="Times New Roman" w:eastAsia="Times New Roman" w:hAnsi="Times New Roman" w:cs="Times New Roman"/>
          <w:sz w:val="24"/>
          <w:szCs w:val="24"/>
        </w:rPr>
        <w:t>ira, observando as mudança realizadas com o passar do tempo, tanto na alteração comportamental da mulher, quanto na imposição subentendida dos padrões de beleza.</w:t>
      </w:r>
    </w:p>
    <w:p w:rsidR="00513E7D" w:rsidRDefault="00F6784D">
      <w:pPr>
        <w:pStyle w:val="normal0"/>
        <w:keepNext/>
        <w:spacing w:before="640"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Metodologia</w:t>
      </w:r>
    </w:p>
    <w:p w:rsidR="00513E7D" w:rsidRDefault="00F6784D" w:rsidP="006F5347">
      <w:pPr>
        <w:widowControl w:val="0"/>
        <w:spacing w:after="0" w:line="36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pesquisa foi realizada a partir de pesquisas feitas </w:t>
      </w:r>
      <w:r w:rsidR="006F5347">
        <w:rPr>
          <w:rFonts w:ascii="Times New Roman" w:eastAsia="Times New Roman" w:hAnsi="Times New Roman" w:cs="Times New Roman"/>
          <w:sz w:val="24"/>
          <w:szCs w:val="24"/>
        </w:rPr>
        <w:t>em revistas online voltadas para adolescentes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5347">
        <w:rPr>
          <w:rFonts w:ascii="Times New Roman" w:eastAsia="Times New Roman" w:hAnsi="Times New Roman" w:cs="Times New Roman"/>
          <w:sz w:val="24"/>
          <w:szCs w:val="24"/>
        </w:rPr>
        <w:t>O método de pesquisa adotado foi o qualitativo, com levantamento bibliográfico e análise documental nas revistas Capricho e Seventeen.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 realização da pesquisa fez-se necessário os seguintes procedimentos: 1) Pesquisa teórica a partir de levantamento bibliográfico; 2) Pesquisa histórica, com levant</w:t>
      </w:r>
      <w:r>
        <w:rPr>
          <w:rFonts w:ascii="Times New Roman" w:eastAsia="Times New Roman" w:hAnsi="Times New Roman" w:cs="Times New Roman"/>
          <w:sz w:val="24"/>
          <w:szCs w:val="24"/>
        </w:rPr>
        <w:t>amento de dados e registros históricos que contribuíram na análise e na reflexão do discurso da pesquisa.</w:t>
      </w:r>
    </w:p>
    <w:p w:rsidR="00513E7D" w:rsidRDefault="00F6784D">
      <w:pPr>
        <w:pStyle w:val="normal0"/>
        <w:keepNext/>
        <w:spacing w:before="6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as análises observamos que as revistas em questão repercutem padrões de beleza e de comportamento. Traçamos uma linha temp</w:t>
      </w:r>
      <w:r>
        <w:rPr>
          <w:rFonts w:ascii="Times New Roman" w:eastAsia="Times New Roman" w:hAnsi="Times New Roman" w:cs="Times New Roman"/>
          <w:sz w:val="24"/>
          <w:szCs w:val="24"/>
        </w:rPr>
        <w:t>oral com a Revista Capricho a partir de 1900, o que nos permitiu investigar padrões corporais e comportamentais. Nesse período observamos que as mulheres que estampavam a revista apresentavam um corpo magro, atlético e com feições europeias. Em 1991 as mul</w:t>
      </w:r>
      <w:r>
        <w:rPr>
          <w:rFonts w:ascii="Times New Roman" w:eastAsia="Times New Roman" w:hAnsi="Times New Roman" w:cs="Times New Roman"/>
          <w:sz w:val="24"/>
          <w:szCs w:val="24"/>
        </w:rPr>
        <w:t>heres negras começaram a aparecer em suas capas; e de 1992 a 1994 a revista começou a usar os homens, estereotipando também a ideia do namorado perfeito. Os padrões comportamentais estavam presentes em matérias que objetivavam mostrar as preferências mascu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linas, incentivando mulheres a adotarem atitudes e padrões de comportamento que os agradassem.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1995 a revista começou a trazer reportagens que mostravam a reação masculina às questões sexuais do corpo feminino. Em 1996, a mulher ainda era colocada como o sexo frágil, que se apaixonava facilmente - o que trazia a ideia de subserviência afetiva. 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homens foram atribuídos adjetivos como frios, secos e fortes - o que trazia a ideia da virilidade exacerbada e de solidão planejada.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 aspecto importante era o Tabu que o público feminino enfrentava em relação ao sexo, o que não acontecia com o público masculino, que sempre exerceu sua sexualidade naturalmente. Se por um lado a revista reforçou padrões e comportamentos, é notório qu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por outro lado, aos poucos, a revista começou a desconstruir a ideia de que as mulheres não devem ter vida sexual antes do casamento.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Entre 1997 e 2001 ressalta-se as construções de padrões de perfeição de modelos e artistas hollywoodianas, como Spice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irls e Britney Spears, que continuavam representando um ideal de beleza a ser seguido.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2002 o discurso feminista contra a objetificação da mulher começa a prevalecer e ganhar espaço na revista, o que questiona esses comportamentos de dependência e obje</w:t>
      </w:r>
      <w:r>
        <w:rPr>
          <w:rFonts w:ascii="Times New Roman" w:eastAsia="Times New Roman" w:hAnsi="Times New Roman" w:cs="Times New Roman"/>
          <w:sz w:val="24"/>
          <w:szCs w:val="24"/>
        </w:rPr>
        <w:t>tificação. A partir disso, há um início de discurso de empoderamento feminino, assim como uma tentativa de desconstrução da superioridade masculina. Entretanto, nota-se que em 2003 e 2004, por mais que a revista tentasse passar a imagem da “girl power”, el</w:t>
      </w:r>
      <w:r>
        <w:rPr>
          <w:rFonts w:ascii="Times New Roman" w:eastAsia="Times New Roman" w:hAnsi="Times New Roman" w:cs="Times New Roman"/>
          <w:sz w:val="24"/>
          <w:szCs w:val="24"/>
        </w:rPr>
        <w:t>a ainda apresentava matérias que colocavam o sexo masculino em destaque e como alvo de conquista. Nos anos posteriores a revista minimizou os preconceitos implícitos e explícitos, porém não deixou de trazê-los por completo, o que gerava várias críticas 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leitores.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outra revista utilizada para as análises foi a estadunidense Seventeen, que é tida como uma revista que aborda os problemas polêmicos da adolescência. Ela traz em seu escopo questionários, conselhos românticos, dicas de beleza e moda. A Seven</w:t>
      </w:r>
      <w:r>
        <w:rPr>
          <w:rFonts w:ascii="Times New Roman" w:eastAsia="Times New Roman" w:hAnsi="Times New Roman" w:cs="Times New Roman"/>
          <w:sz w:val="24"/>
          <w:szCs w:val="24"/>
        </w:rPr>
        <w:t>teen é uma das revistas para adolescentes mais influentes mundialmente e está no topo de vendas desde sua criação em 1944. As garotas procuram na revista conselhos de maquiagem, roupas e garotos. Contudo, mesmo ela trazendo questões polêmicas, não deixa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incentivar a busca de padrões e de reforçar as desigualdades. Muitas matérias e capas foram representadas por mulheres altas, brancas, loiras e magras, e traziam a ideia de que a mulher deveria alcançar um padrão de beleza para agradar o seu parceiro. Ent</w:t>
      </w:r>
      <w:r>
        <w:rPr>
          <w:rFonts w:ascii="Times New Roman" w:eastAsia="Times New Roman" w:hAnsi="Times New Roman" w:cs="Times New Roman"/>
          <w:sz w:val="24"/>
          <w:szCs w:val="24"/>
        </w:rPr>
        <w:t>retanto, após a grande era da “girl power” (poder feminino) iniciado com as bandas Spice Girls, Destiny’s Child e The Saturdays e com a cantora Britney Spears na década de 90, a revista passou a publicar reportagens mais centralizadas nas mulheres e na div</w:t>
      </w:r>
      <w:r>
        <w:rPr>
          <w:rFonts w:ascii="Times New Roman" w:eastAsia="Times New Roman" w:hAnsi="Times New Roman" w:cs="Times New Roman"/>
          <w:sz w:val="24"/>
          <w:szCs w:val="24"/>
        </w:rPr>
        <w:t>ersidade da beleza. Entretanto, mesmo com essa mudança significativa, continuaram utilizando apenas mulheres magras e brancas como estrelas de suas capas. No século XXI observa-se uma mudança nesse estereótipo e, finalmente, mulheres negras começam a posar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 revista. Outro fator que mostra a tentativa de empoderamento feminino pela revista, foi a inclusão de assuntos que tratavam abertamente de sexo e do auto prazer feminino, o que até então era focado para o público feminino.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Após as análises, podemo</w:t>
      </w:r>
      <w:r>
        <w:rPr>
          <w:rFonts w:ascii="Times New Roman" w:eastAsia="Times New Roman" w:hAnsi="Times New Roman" w:cs="Times New Roman"/>
          <w:sz w:val="24"/>
          <w:szCs w:val="24"/>
        </w:rPr>
        <w:t>s entender que mesmo com uma mudança de postura, essas revistas ainda repercutem padrões de beleza e de comportamento. Apesar dos argumentos e preconceitos sexistas não estarem tão explícitos, ainda podemos notá-los em algumas capas e reportagens. Dessa fo</w:t>
      </w:r>
      <w:r>
        <w:rPr>
          <w:rFonts w:ascii="Times New Roman" w:eastAsia="Times New Roman" w:hAnsi="Times New Roman" w:cs="Times New Roman"/>
          <w:sz w:val="24"/>
          <w:szCs w:val="24"/>
        </w:rPr>
        <w:t>rma, conseguimos perceber que o machismo ainda está presente em nossa contemporaneidade e que reforça estereótipos, padrões de beleza e de comportamentos.</w:t>
      </w:r>
    </w:p>
    <w:p w:rsidR="00513E7D" w:rsidRDefault="00F6784D">
      <w:pPr>
        <w:pStyle w:val="normal0"/>
        <w:spacing w:before="7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Conclusões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as análises, conclui-se que os padrões corporais, estéticos e comportamentais são fru</w:t>
      </w:r>
      <w:r>
        <w:rPr>
          <w:rFonts w:ascii="Times New Roman" w:eastAsia="Times New Roman" w:hAnsi="Times New Roman" w:cs="Times New Roman"/>
          <w:sz w:val="24"/>
          <w:szCs w:val="24"/>
        </w:rPr>
        <w:t>tos de uma construção social, estabelecida socialmente em meio a relações de poder, que têm na imprensa um forte aliado. Historicamente</w:t>
      </w:r>
      <w:r w:rsidR="00F36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mulheres são submetidas a padrões inalcançáveis de beleza e a submissão ao sexo masculino. </w:t>
      </w:r>
    </w:p>
    <w:p w:rsidR="00513E7D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a transformação das </w:t>
      </w:r>
      <w:r>
        <w:rPr>
          <w:rFonts w:ascii="Times New Roman" w:eastAsia="Times New Roman" w:hAnsi="Times New Roman" w:cs="Times New Roman"/>
          <w:sz w:val="24"/>
          <w:szCs w:val="24"/>
        </w:rPr>
        <w:t>relações sociais, percebe-se uma adaptação das revistas às novas conjecturas. Entretanto, por mais que essa adaptação ao viés feminista emancipador por parte das revistas exista, elas ainda apresentam u</w:t>
      </w:r>
      <w:r w:rsidR="003D4E7F">
        <w:rPr>
          <w:rFonts w:ascii="Times New Roman" w:eastAsia="Times New Roman" w:hAnsi="Times New Roman" w:cs="Times New Roman"/>
          <w:sz w:val="24"/>
          <w:szCs w:val="24"/>
        </w:rPr>
        <w:t>ma ideologia sexista implantada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3D4E7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uma forma implíc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ita, acabam passando esses valores para garotas adolescentes, fazendo com que seu público se </w:t>
      </w:r>
      <w:r w:rsidR="00EA1895">
        <w:rPr>
          <w:rFonts w:ascii="Times New Roman" w:eastAsia="Times New Roman" w:hAnsi="Times New Roman" w:cs="Times New Roman"/>
          <w:sz w:val="24"/>
          <w:szCs w:val="24"/>
        </w:rPr>
        <w:t>torne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inseguro em relação a sua autoimagem. </w:t>
      </w:r>
    </w:p>
    <w:p w:rsidR="00EA1895" w:rsidRDefault="00F6784D">
      <w:pPr>
        <w:pStyle w:val="normal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pesquisa pretende se estender por mais um ano, a fim de </w:t>
      </w:r>
      <w:r w:rsidR="003D4E7F">
        <w:rPr>
          <w:rFonts w:ascii="Times New Roman" w:eastAsia="Times New Roman" w:hAnsi="Times New Roman" w:cs="Times New Roman"/>
          <w:sz w:val="24"/>
          <w:szCs w:val="24"/>
        </w:rPr>
        <w:t xml:space="preserve">prosseguir com as pesquisas e </w:t>
      </w:r>
      <w:r w:rsidR="006C2ECE">
        <w:rPr>
          <w:rFonts w:ascii="Times New Roman" w:eastAsia="Times New Roman" w:hAnsi="Times New Roman" w:cs="Times New Roman"/>
          <w:sz w:val="24"/>
          <w:szCs w:val="24"/>
        </w:rPr>
        <w:t>organizar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EC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>dados adquiridos ao longo desse primeiro momento</w:t>
      </w:r>
      <w:r w:rsidR="00EA1895">
        <w:rPr>
          <w:rFonts w:ascii="Times New Roman" w:eastAsia="Times New Roman" w:hAnsi="Times New Roman" w:cs="Times New Roman"/>
          <w:sz w:val="24"/>
          <w:szCs w:val="24"/>
        </w:rPr>
        <w:t xml:space="preserve"> na forma de trabalhos científicos.</w:t>
      </w:r>
    </w:p>
    <w:p w:rsidR="00513E7D" w:rsidRDefault="00F6784D">
      <w:pPr>
        <w:pStyle w:val="normal0"/>
        <w:spacing w:before="7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ARAÚJO, Alessandro. Porque a revista Capricho ainda não acabou? Disponível em &lt;www.pimentanoteuerefresco.com.br/2013/08/porque-revista-capricho-ainda-nao.html&gt;. Acesso em 23 de junho </w:t>
      </w:r>
      <w:r>
        <w:rPr>
          <w:rFonts w:ascii="Times New Roman" w:eastAsia="Times New Roman" w:hAnsi="Times New Roman" w:cs="Times New Roman"/>
          <w:sz w:val="24"/>
          <w:szCs w:val="24"/>
        </w:rPr>
        <w:t>de 2017.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ARAÚJO, Denise Castilhos. Processos Midiáticos: Gênero e Cultura. Buenos Aires, Efdeportes, 2008. 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BUITONI, Dulcília Schroeder. Mulher de Papel: a representação da mulher pela imprensa feminina brasileira. São Paulo: Summus, 2009. 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DORNELLES,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 Viera (2002). Meninas no Papel. Porto Alegre UFRGS [tese de doutorado]. 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FELERICO, Selma. Compram-se corpos ultra medidos: representações do corpo feminino na mídia impressa no carnaval brasileiro. Rio Grande do Sul, UFRGS [tese de doutorado]. 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FOUCA</w:t>
      </w:r>
      <w:r>
        <w:rPr>
          <w:rFonts w:ascii="Times New Roman" w:eastAsia="Times New Roman" w:hAnsi="Times New Roman" w:cs="Times New Roman"/>
          <w:sz w:val="24"/>
          <w:szCs w:val="24"/>
        </w:rPr>
        <w:t>ULT, Michel. A Ordem do Discurso. França: Gallimard, 1971.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LOURO, Guacira Lopes. Gênero, Sexualidade e Educação. Brasil: Vozes, 1998.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SAMARÃO, Liliany. O Espetáculo da Publicidade: a representação do corpo feminino da mídia. Rio de Janeiro, UERJ [tese de doutorado].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F6784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SAVARD, Molly. Seventeen. Disponível em &lt;http://genprogress.org/voices/2013 /02/09/18434/ seventeens-kesha-cover-sends-wro</w:t>
      </w:r>
      <w:r>
        <w:rPr>
          <w:rFonts w:ascii="Times New Roman" w:eastAsia="Times New Roman" w:hAnsi="Times New Roman" w:cs="Times New Roman"/>
          <w:sz w:val="24"/>
          <w:szCs w:val="24"/>
        </w:rPr>
        <w:t>ng-message-to-girls/&gt;. Acesso em 30 de junho de 2017.</w:t>
      </w: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E7D" w:rsidRDefault="00513E7D">
      <w:pPr>
        <w:pStyle w:val="normal0"/>
        <w:widowControl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i/>
        </w:rPr>
      </w:pPr>
    </w:p>
    <w:p w:rsidR="00513E7D" w:rsidRDefault="00513E7D">
      <w:pPr>
        <w:pStyle w:val="normal0"/>
      </w:pPr>
      <w:bookmarkStart w:id="0" w:name="_gjdgxs" w:colFirst="0" w:colLast="0"/>
      <w:bookmarkEnd w:id="0"/>
    </w:p>
    <w:sectPr w:rsidR="00513E7D" w:rsidSect="00513E7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843" w:right="1134" w:bottom="993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4D" w:rsidRDefault="00F6784D" w:rsidP="00513E7D">
      <w:pPr>
        <w:spacing w:after="0" w:line="240" w:lineRule="auto"/>
      </w:pPr>
      <w:r>
        <w:separator/>
      </w:r>
    </w:p>
  </w:endnote>
  <w:endnote w:type="continuationSeparator" w:id="1">
    <w:p w:rsidR="00F6784D" w:rsidRDefault="00F6784D" w:rsidP="0051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7D" w:rsidRDefault="00F6784D">
    <w:pPr>
      <w:pStyle w:val="normal0"/>
      <w:tabs>
        <w:tab w:val="right" w:pos="9072"/>
      </w:tabs>
      <w:spacing w:after="12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____________________________________________________________________________________________________</w:t>
    </w:r>
  </w:p>
  <w:p w:rsidR="00513E7D" w:rsidRDefault="00F6784D">
    <w:pPr>
      <w:pStyle w:val="normal0"/>
      <w:tabs>
        <w:tab w:val="right" w:pos="8789"/>
      </w:tabs>
      <w:spacing w:after="736" w:line="240" w:lineRule="auto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XXII Ciência Viva - 2017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b/>
        <w:sz w:val="16"/>
        <w:szCs w:val="16"/>
      </w:rPr>
      <w:t>Uberlândia/MG, 21 e 22 de novembro de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4D" w:rsidRDefault="00F6784D" w:rsidP="00513E7D">
      <w:pPr>
        <w:spacing w:after="0" w:line="240" w:lineRule="auto"/>
      </w:pPr>
      <w:r>
        <w:separator/>
      </w:r>
    </w:p>
  </w:footnote>
  <w:footnote w:type="continuationSeparator" w:id="1">
    <w:p w:rsidR="00F6784D" w:rsidRDefault="00F6784D" w:rsidP="0051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7D" w:rsidRDefault="00513E7D">
    <w:pPr>
      <w:pStyle w:val="normal0"/>
      <w:tabs>
        <w:tab w:val="center" w:pos="4252"/>
        <w:tab w:val="right" w:pos="8504"/>
      </w:tabs>
      <w:spacing w:before="709" w:after="120" w:line="240" w:lineRule="auto"/>
      <w:ind w:firstLine="851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F6784D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513E7D" w:rsidRDefault="00513E7D">
    <w:pPr>
      <w:pStyle w:val="normal0"/>
      <w:tabs>
        <w:tab w:val="center" w:pos="4252"/>
        <w:tab w:val="right" w:pos="8504"/>
      </w:tabs>
      <w:spacing w:after="120" w:line="240" w:lineRule="auto"/>
      <w:ind w:right="360" w:firstLine="851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7D" w:rsidRDefault="00F6784D">
    <w:pPr>
      <w:pStyle w:val="normal0"/>
      <w:pBdr>
        <w:bottom w:val="single" w:sz="4" w:space="1" w:color="000000"/>
      </w:pBdr>
      <w:tabs>
        <w:tab w:val="center" w:pos="4216"/>
        <w:tab w:val="left" w:pos="4956"/>
        <w:tab w:val="left" w:pos="5664"/>
      </w:tabs>
      <w:spacing w:before="709" w:after="120" w:line="240" w:lineRule="auto"/>
      <w:ind w:right="70" w:hanging="851"/>
      <w:rPr>
        <w:rFonts w:ascii="Arial" w:eastAsia="Arial" w:hAnsi="Arial" w:cs="Arial"/>
        <w:b/>
        <w:sz w:val="36"/>
        <w:szCs w:val="36"/>
      </w:rPr>
    </w:pP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4438650</wp:posOffset>
          </wp:positionH>
          <wp:positionV relativeFrom="paragraph">
            <wp:posOffset>179070</wp:posOffset>
          </wp:positionV>
          <wp:extent cx="1501140" cy="518160"/>
          <wp:effectExtent l="0" t="0" r="0" b="0"/>
          <wp:wrapSquare wrapText="bothSides" distT="0" distB="0" distL="0" distR="0"/>
          <wp:docPr id="3" name="image6.png" descr="In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Iníci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2413635</wp:posOffset>
          </wp:positionH>
          <wp:positionV relativeFrom="paragraph">
            <wp:posOffset>49530</wp:posOffset>
          </wp:positionV>
          <wp:extent cx="937895" cy="662305"/>
          <wp:effectExtent l="0" t="0" r="0" b="0"/>
          <wp:wrapNone/>
          <wp:docPr id="2" name="image5.png" descr="Logo CV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CV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2540</wp:posOffset>
          </wp:positionH>
          <wp:positionV relativeFrom="paragraph">
            <wp:posOffset>150495</wp:posOffset>
          </wp:positionV>
          <wp:extent cx="1612900" cy="475615"/>
          <wp:effectExtent l="0" t="0" r="0" b="0"/>
          <wp:wrapNone/>
          <wp:docPr id="1" name="image3.png" descr="Hyp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yper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3E7D" w:rsidRDefault="00513E7D">
    <w:pPr>
      <w:pStyle w:val="normal0"/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spacing w:after="120" w:line="240" w:lineRule="auto"/>
      <w:ind w:right="70" w:hanging="851"/>
      <w:jc w:val="center"/>
      <w:rPr>
        <w:rFonts w:ascii="Arial" w:eastAsia="Arial" w:hAnsi="Arial" w:cs="Arial"/>
        <w:b/>
        <w:sz w:val="36"/>
        <w:szCs w:val="36"/>
      </w:rPr>
    </w:pPr>
  </w:p>
  <w:p w:rsidR="00513E7D" w:rsidRDefault="00513E7D">
    <w:pPr>
      <w:pStyle w:val="normal0"/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spacing w:after="120" w:line="240" w:lineRule="auto"/>
      <w:ind w:right="70" w:hanging="851"/>
      <w:rPr>
        <w:rFonts w:ascii="Arial" w:eastAsia="Arial" w:hAnsi="Arial" w:cs="Arial"/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7D" w:rsidRDefault="00F6784D">
    <w:pPr>
      <w:pStyle w:val="normal0"/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spacing w:before="709" w:after="120" w:line="240" w:lineRule="auto"/>
      <w:ind w:right="70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20"/>
        <w:szCs w:val="20"/>
      </w:rPr>
      <w:t>XVIII Simpósio Nacional de Ensino de Física – SNEF 2009 – Vitória, ES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 w:rsidR="00513E7D"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 w:rsidR="00513E7D">
      <w:rPr>
        <w:rFonts w:ascii="Arial" w:eastAsia="Arial" w:hAnsi="Arial" w:cs="Arial"/>
        <w:sz w:val="18"/>
        <w:szCs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E7D"/>
    <w:rsid w:val="003D4E7F"/>
    <w:rsid w:val="00513E7D"/>
    <w:rsid w:val="006C2ECE"/>
    <w:rsid w:val="006C349E"/>
    <w:rsid w:val="006F5347"/>
    <w:rsid w:val="00EA1895"/>
    <w:rsid w:val="00F36195"/>
    <w:rsid w:val="00F6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13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13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13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13E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13E7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513E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13E7D"/>
  </w:style>
  <w:style w:type="table" w:customStyle="1" w:styleId="TableNormal">
    <w:name w:val="Table Normal"/>
    <w:rsid w:val="00513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13E7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13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SAMSUNG</cp:lastModifiedBy>
  <cp:revision>2</cp:revision>
  <dcterms:created xsi:type="dcterms:W3CDTF">2017-11-16T16:34:00Z</dcterms:created>
  <dcterms:modified xsi:type="dcterms:W3CDTF">2017-11-16T16:34:00Z</dcterms:modified>
</cp:coreProperties>
</file>