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b w:val="1"/>
          <w:sz w:val="28"/>
          <w:szCs w:val="28"/>
          <w:rtl w:val="0"/>
        </w:rPr>
        <w:t xml:space="preserve">A Cidade Ideal: Tecnologias alternativas e saberes indígenas como ferramenta de preservação ambiental</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superscrip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Estudante(s): </w:t>
      </w:r>
      <w:r w:rsidDel="00000000" w:rsidR="00000000" w:rsidRPr="00000000">
        <w:rPr>
          <w:b w:val="1"/>
          <w:rtl w:val="0"/>
        </w:rPr>
        <w:t xml:space="preserve">Laverd Ádrian Mendoza Gonzales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b w:val="1"/>
          <w:rtl w:val="0"/>
        </w:rPr>
        <w:t xml:space="preserve">120006846@gabarito.email</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b w:val="1"/>
          <w:rtl w:val="0"/>
        </w:rPr>
        <w:t xml:space="preserve">Sarah</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T</w:t>
      </w:r>
      <w:r w:rsidDel="00000000" w:rsidR="00000000" w:rsidRPr="00000000">
        <w:rPr>
          <w:b w:val="1"/>
          <w:rtl w:val="0"/>
        </w:rPr>
        <w:t xml:space="preserve">osta de Souza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b w:val="1"/>
          <w:rtl w:val="0"/>
        </w:rPr>
        <w:t xml:space="preserve">419004972@gabarito.email</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e Thales M</w:t>
      </w:r>
      <w:r w:rsidDel="00000000" w:rsidR="00000000" w:rsidRPr="00000000">
        <w:rPr>
          <w:b w:val="1"/>
          <w:rtl w:val="0"/>
        </w:rPr>
        <w:t xml:space="preserve">endonça Soares (thalesmsoares@gmail.com)</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b w:val="1"/>
          <w:rtl w:val="0"/>
        </w:rPr>
        <w:t xml:space="preserve">Orientadora: Laís Estevão Moraes de Oliveira</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b w:val="1"/>
          <w:rtl w:val="0"/>
        </w:rPr>
        <w:t xml:space="preserve">lais.oliveira@gabarito.pro.br</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Escola: </w:t>
      </w:r>
      <w:r w:rsidDel="00000000" w:rsidR="00000000" w:rsidRPr="00000000">
        <w:rPr>
          <w:b w:val="1"/>
          <w:rtl w:val="0"/>
        </w:rPr>
        <w:t xml:space="preserve">Gabarito Educação</w:t>
      </w:r>
      <w:r w:rsidDel="00000000" w:rsidR="00000000" w:rsidRPr="00000000">
        <w:rPr>
          <w:rtl w:val="0"/>
        </w:rPr>
      </w:r>
    </w:p>
    <w:p w:rsidR="00000000" w:rsidDel="00000000" w:rsidP="00000000" w:rsidRDefault="00000000" w:rsidRPr="00000000" w14:paraId="00000005">
      <w:pPr>
        <w:spacing w:line="360" w:lineRule="auto"/>
        <w:ind w:firstLine="0"/>
        <w:rPr>
          <w:b w:val="1"/>
        </w:rPr>
      </w:pPr>
      <w:r w:rsidDel="00000000" w:rsidR="00000000" w:rsidRPr="00000000">
        <w:rPr>
          <w:rtl w:val="0"/>
        </w:rPr>
      </w:r>
    </w:p>
    <w:p w:rsidR="00000000" w:rsidDel="00000000" w:rsidP="00000000" w:rsidRDefault="00000000" w:rsidRPr="00000000" w14:paraId="00000006">
      <w:pPr>
        <w:spacing w:line="360" w:lineRule="auto"/>
        <w:ind w:firstLine="0"/>
        <w:rPr>
          <w:b w:val="1"/>
          <w:color w:val="ff0000"/>
        </w:rPr>
      </w:pPr>
      <w:r w:rsidDel="00000000" w:rsidR="00000000" w:rsidRPr="00000000">
        <w:rPr>
          <w:b w:val="1"/>
          <w:rtl w:val="0"/>
        </w:rPr>
        <w:t xml:space="preserve">Resumo</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sz w:val="22"/>
          <w:szCs w:val="22"/>
        </w:rPr>
      </w:pPr>
      <w:r w:rsidDel="00000000" w:rsidR="00000000" w:rsidRPr="00000000">
        <w:rPr>
          <w:sz w:val="22"/>
          <w:szCs w:val="22"/>
          <w:rtl w:val="0"/>
        </w:rPr>
        <w:t xml:space="preserve">Neste trabalho, orientado pela professora Laís Estevão, o objetivo primordial é apresentar e conscientizar sobre tecnologias alternativas e pouco conhecidas como meio de fazer a sociedade mais sustentável, considerando particularmente os biomas brasileiros, especialmente o cerrado. Para isso, tem-se como escolha os saberes indígenas (baseando-se no livro "A Vida Não É Útil" de Ailton Krenak), saberes rurais, tecnologias de energia solar e a energia nuclear. Tal seleção foi feita com o objetivo de demonstrar como é possível melhorar todo e qualquer setor da sociedade, desde o indivíduo até a nação, por meio de desconhecidas e/ou subestimadas tecnologias, as quais têm o potencial de criar uma "cidade ideal".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Palavras-chave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t xml:space="preserve">tecnologia, sustentabilidade, nuclear, solar, povos originários.</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Introdução e justificativa</w:t>
      </w:r>
      <w:r w:rsidDel="00000000" w:rsidR="00000000" w:rsidRPr="00000000">
        <w:rPr>
          <w:rtl w:val="0"/>
        </w:rPr>
      </w:r>
    </w:p>
    <w:p w:rsidR="00000000" w:rsidDel="00000000" w:rsidP="00000000" w:rsidRDefault="00000000" w:rsidRPr="00000000" w14:paraId="0000000B">
      <w:pPr>
        <w:spacing w:line="360" w:lineRule="auto"/>
        <w:ind w:left="0" w:firstLine="850.3937007874016"/>
        <w:jc w:val="both"/>
        <w:rPr/>
      </w:pPr>
      <w:r w:rsidDel="00000000" w:rsidR="00000000" w:rsidRPr="00000000">
        <w:rPr>
          <w:rtl w:val="0"/>
        </w:rPr>
        <w:t xml:space="preserve">Os processos de evolução da sociedade, bem como o sincretismo de diferentes saberes, permitiu um avanço tecnológico importante para a construção de distintas maneiras de produção de ciência e conhecimento.</w:t>
      </w:r>
    </w:p>
    <w:p w:rsidR="00000000" w:rsidDel="00000000" w:rsidP="00000000" w:rsidRDefault="00000000" w:rsidRPr="00000000" w14:paraId="0000000C">
      <w:pPr>
        <w:spacing w:line="360" w:lineRule="auto"/>
        <w:ind w:left="0" w:firstLine="850.3937007874017"/>
        <w:jc w:val="both"/>
        <w:rPr>
          <w:b w:val="1"/>
          <w:color w:val="ff0000"/>
        </w:rPr>
      </w:pPr>
      <w:r w:rsidDel="00000000" w:rsidR="00000000" w:rsidRPr="00000000">
        <w:rPr>
          <w:rtl w:val="0"/>
        </w:rPr>
        <w:t xml:space="preserve">Por isso, este trabalho possui o objetivo de apresentar e difundir tecnologias alternativas pouco conhecidas pelo entendimento comum, tendo como princípio promover a sustentabilidade dentro da sociedade levando em consideração a preservação de biomas (especialmente o cerrado) e o reconhecimento de saberes autóctones e tecnologias de energia solar (placas OPV - Painel Fotovoltaico Orgânico) e nuclear.</w:t>
      </w:r>
      <w:r w:rsidDel="00000000" w:rsidR="00000000" w:rsidRPr="00000000">
        <w:rPr>
          <w:rtl w:val="0"/>
        </w:rPr>
      </w:r>
    </w:p>
    <w:p w:rsidR="00000000" w:rsidDel="00000000" w:rsidP="00000000" w:rsidRDefault="00000000" w:rsidRPr="00000000" w14:paraId="0000000D">
      <w:pPr>
        <w:spacing w:line="360" w:lineRule="auto"/>
        <w:ind w:left="0" w:firstLine="850.3937007874017"/>
        <w:jc w:val="both"/>
        <w:rPr/>
      </w:pPr>
      <w:r w:rsidDel="00000000" w:rsidR="00000000" w:rsidRPr="00000000">
        <w:rPr>
          <w:rtl w:val="0"/>
        </w:rPr>
        <w:t xml:space="preserve">A relevância do trabalho se comprova ao apresentar meios realistas, ecológicos e cientificamente eficazes aptos para contribuir ativamente com a preservação do bioma regional e a valorização de novas ideias. Assim, tem-se a construção de um ecossistema verde que contribui com a vitalidade da natureza, a revitalização dos conhecimentos propostos pelos povos originários, a construção de uma cidade ideal e desestigmatizar as visões negativas sobre métodos atuais e a geração de energia a partir de usinas nucleares.</w:t>
      </w:r>
    </w:p>
    <w:p w:rsidR="00000000" w:rsidDel="00000000" w:rsidP="00000000" w:rsidRDefault="00000000" w:rsidRPr="00000000" w14:paraId="0000000E">
      <w:pPr>
        <w:spacing w:line="360" w:lineRule="auto"/>
        <w:ind w:firstLine="0"/>
        <w:rPr>
          <w:b w:val="1"/>
        </w:rPr>
      </w:pPr>
      <w:r w:rsidDel="00000000" w:rsidR="00000000" w:rsidRPr="00000000">
        <w:rPr>
          <w:rtl w:val="0"/>
        </w:rPr>
      </w:r>
    </w:p>
    <w:p w:rsidR="00000000" w:rsidDel="00000000" w:rsidP="00000000" w:rsidRDefault="00000000" w:rsidRPr="00000000" w14:paraId="0000000F">
      <w:pPr>
        <w:spacing w:line="360" w:lineRule="auto"/>
        <w:ind w:firstLine="0"/>
        <w:rPr>
          <w:b w:val="1"/>
          <w:i w:val="1"/>
        </w:rPr>
      </w:pPr>
      <w:r w:rsidDel="00000000" w:rsidR="00000000" w:rsidRPr="00000000">
        <w:rPr>
          <w:b w:val="1"/>
          <w:rtl w:val="0"/>
        </w:rPr>
        <w:t xml:space="preserve">Objetivos</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851"/>
        <w:jc w:val="both"/>
        <w:rPr/>
      </w:pPr>
      <w:r w:rsidDel="00000000" w:rsidR="00000000" w:rsidRPr="00000000">
        <w:rPr>
          <w:rtl w:val="0"/>
        </w:rPr>
        <w:t xml:space="preserve">O objetivo deste trabalho é apresentar e conscientizar sobre a existência de tecnologias alternativas que podem contribuir para a preservação do meio natural brasileiro, em particular o cerrado, para encorajar seu uso e demonstrar como diversos aspectos da sociedade podem ser melhorados por meio delas.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b w:val="1"/>
        </w:rPr>
      </w:pPr>
      <w:r w:rsidDel="00000000" w:rsidR="00000000" w:rsidRPr="00000000">
        <w:rPr>
          <w:b w:val="1"/>
          <w:rtl w:val="0"/>
        </w:rPr>
        <w:t xml:space="preserve">Metodologia</w:t>
      </w:r>
    </w:p>
    <w:p w:rsidR="00000000" w:rsidDel="00000000" w:rsidP="00000000" w:rsidRDefault="00000000" w:rsidRPr="00000000" w14:paraId="00000013">
      <w:pPr>
        <w:spacing w:line="360" w:lineRule="auto"/>
        <w:jc w:val="both"/>
        <w:rPr/>
      </w:pPr>
      <w:r w:rsidDel="00000000" w:rsidR="00000000" w:rsidRPr="00000000">
        <w:rPr>
          <w:rtl w:val="0"/>
        </w:rPr>
        <w:t xml:space="preserve">Ao longo do nosso trabalho, além de realizar levantamentos e questionários acerca da opinião pública sobre o tópico, também montamos diversas demonstrações práticas das tecnologias. O exemplar mais notável desse esforço seria a maquete funcional de uma usina nuclear, a qual funciona por meio de uma reação exotérmica que produz vapor, o qual, por sua vez, gira um motor que alimenta um circuito de LEDs simulando uma cidade. Feita de material reciclável, incluindo lixo eletrônico, a maquete é uma aproximação reduzida de uma usina nuclear real, visto que ambos convertem a energia cinética de gases em energia.</w:t>
      </w:r>
    </w:p>
    <w:p w:rsidR="00000000" w:rsidDel="00000000" w:rsidP="00000000" w:rsidRDefault="00000000" w:rsidRPr="00000000" w14:paraId="00000014">
      <w:pPr>
        <w:spacing w:line="360" w:lineRule="auto"/>
        <w:ind w:left="0" w:firstLine="0"/>
        <w:rPr>
          <w:b w:val="1"/>
        </w:rPr>
      </w:pPr>
      <w:r w:rsidDel="00000000" w:rsidR="00000000" w:rsidRPr="00000000">
        <w:rPr>
          <w:rtl w:val="0"/>
        </w:rPr>
      </w:r>
    </w:p>
    <w:p w:rsidR="00000000" w:rsidDel="00000000" w:rsidP="00000000" w:rsidRDefault="00000000" w:rsidRPr="00000000" w14:paraId="00000015">
      <w:pPr>
        <w:spacing w:line="360" w:lineRule="auto"/>
        <w:ind w:left="0" w:firstLine="0"/>
        <w:rPr>
          <w:b w:val="1"/>
        </w:rPr>
      </w:pPr>
      <w:r w:rsidDel="00000000" w:rsidR="00000000" w:rsidRPr="00000000">
        <w:rPr>
          <w:b w:val="1"/>
          <w:rtl w:val="0"/>
        </w:rPr>
        <w:t xml:space="preserve">Resultados e Discussão</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b w:val="1"/>
        </w:rPr>
      </w:pPr>
      <w:r w:rsidDel="00000000" w:rsidR="00000000" w:rsidRPr="00000000">
        <w:rPr>
          <w:b w:val="1"/>
          <w:rtl w:val="0"/>
        </w:rPr>
        <w:t xml:space="preserve">1.1 Os saberes indígenas e a preservação ambiental</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850.3937007874016"/>
        <w:jc w:val="both"/>
        <w:rPr/>
      </w:pPr>
      <w:r w:rsidDel="00000000" w:rsidR="00000000" w:rsidRPr="00000000">
        <w:rPr>
          <w:rtl w:val="0"/>
        </w:rPr>
        <w:t xml:space="preserve">No primeiro capítulo “Não Se Como Dinheiro”, parte que abre o livro “A Vida Não É Útil”, Ailton Krenak contextualiza, do ponto de vista crítico de um ambientalista e ativista da causa indígena, a ocupação do ser humano no mundo e suas contribuições para os resultados degradantes da atualidade: “O tempo passou, as pessoas se concentraram em metrópoles e o planeta virou um paliteiro. Mas agora, de dentro do concreto, surge essa utopia de transformar o cemitério urbano em vida.” (KRENAK, 2020).</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850.3937007874016"/>
        <w:jc w:val="both"/>
        <w:rPr/>
      </w:pPr>
      <w:r w:rsidDel="00000000" w:rsidR="00000000" w:rsidRPr="00000000">
        <w:rPr>
          <w:rtl w:val="0"/>
        </w:rPr>
        <w:t xml:space="preserve">Krenak, imerso na sua comunidade localizada na região do vale do Rio Doce, acompanha uma das formas de exploração da terra: a extração de minérios que ocorre próxima ao povo Krenak pela empresa BHP-Samarco-Vale. Tal atividade o inspirou a escrever livros, como “O Amanhã Não Está À Venda” e “A Vida Não É Útil”, que conscientizassem a população sobre a calamidade ambiental e climática vivida por todo planeta, apresentando as crenças originárias e a sua experiência pessoal com a natureza como uma maneira eficaz de promover a reconexão com os aspectos ambientais e a preservação das origens da humanidade.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850.3937007874016"/>
        <w:jc w:val="both"/>
        <w:rPr/>
      </w:pPr>
      <w:r w:rsidDel="00000000" w:rsidR="00000000" w:rsidRPr="00000000">
        <w:rPr>
          <w:rtl w:val="0"/>
        </w:rPr>
        <w:t xml:space="preserve">Desse modo, com a apresentação da personalidade de Krenak, entende-se que uma parcela importante da tomada de consciência parte da observação do entorno e o estado atual da natureza. A cidade de Uberlândia, bem como grande parte do território do estado de Minas Gerais, é contemplada pela vegetação típica do bioma cerrado: árvores de tronco retorcido e cascas grossas (para a sobrevivência perante às queimadas), raízes profundas (para a fixação no solo e a busca de água nos lençóis freáticos) e a baixa estatura. Ao longo dos anos, o cerrado foi classificado como um </w:t>
      </w:r>
      <w:r w:rsidDel="00000000" w:rsidR="00000000" w:rsidRPr="00000000">
        <w:rPr>
          <w:i w:val="1"/>
          <w:rtl w:val="0"/>
        </w:rPr>
        <w:t xml:space="preserve">hotspot</w:t>
      </w:r>
      <w:r w:rsidDel="00000000" w:rsidR="00000000" w:rsidRPr="00000000">
        <w:rPr>
          <w:rtl w:val="0"/>
        </w:rPr>
        <w:t xml:space="preserve"> da biodiversidade, representando um risco para sua prevalência futura, já que possui extrema abundância de espécies endêmicas e a perda de habitat.</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850.3937007874016"/>
        <w:jc w:val="both"/>
        <w:rPr/>
      </w:pPr>
      <w:r w:rsidDel="00000000" w:rsidR="00000000" w:rsidRPr="00000000">
        <w:rPr>
          <w:rtl w:val="0"/>
        </w:rPr>
        <w:t xml:space="preserve">A posição tomada pelo ambientalista Krenak rememora a capacidade humana de luta pelos direitos da vida e da biodiversidade natural: “O equipamento que precisamos para estar na biosfera é exatamente nosso corpo.” (KRENAK, 2020). A permanência do símbolo natural mineiro, o cerrado, encontra-se na responsabilidade da população, e por isso, o desenvolvimento de técnicas de preservação acessíveis e tecnologicamente revolucionárias são necessárias. Assim, a posição inicial de inspiração encontra-se na última página do livro “A Vida Não É Útil”: “Nós, Krenak, decidimos que estamos dentro do desastre, ninguém precisa vir tirar a gente daqui, vamos atravessar. Ou toda vez que você vê um deserto você vai sair correndo? Quando aparecer um deserto, o atravesse.” (KRENAK, 2020).</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850.3937007874016"/>
        <w:jc w:val="both"/>
        <w:rPr/>
      </w:pPr>
      <w:r w:rsidDel="00000000" w:rsidR="00000000" w:rsidRPr="00000000">
        <w:rPr>
          <w:rtl w:val="0"/>
        </w:rPr>
        <w:t xml:space="preserve">Por essa visão, torna-se válido discutir as várias práticas indígenas que preservam o meio natural e marcam a postura de resistência tomada pela comunidade, assim como descrito por Krenak. As técnicas agrícolas indígenas, como o uso de policulturas (diversidade de cultivos) e a roça de toco, promovem a sustentabilidade ao preservar a fertilidade do solo e reduzir a necessidade de desmatamento. Em vez de monoculturas e uso intensivo de agroquímicos, os indígenas empregam sistemas que replicam a diversidade e resiliência dos ecossistemas naturais, protegendo o solo da erosão e mantendo a biodiversidade. Ademais, os povos indígenas também têm conhecimento profundo sobre os ciclos naturais e as mudanças climáticas. Eles adaptam suas práticas de acordo com as variações sazonais e climáticas, sendo resilientes a condições adversas, como secas ou inundações. Esse entendimento detalhado pode ser utilizado para desenvolver estratégias de adaptação às mudanças climáticas, ensinando as sociedades modernas a viver em harmonia com as flutuações ambientais.</w:t>
      </w:r>
    </w:p>
    <w:p w:rsidR="00000000" w:rsidDel="00000000" w:rsidP="00000000" w:rsidRDefault="00000000" w:rsidRPr="00000000" w14:paraId="0000001C">
      <w:pPr>
        <w:spacing w:after="240" w:before="240" w:line="360" w:lineRule="auto"/>
        <w:ind w:left="0" w:firstLine="850.3937007874016"/>
        <w:jc w:val="both"/>
        <w:rPr/>
      </w:pPr>
      <w:r w:rsidDel="00000000" w:rsidR="00000000" w:rsidRPr="00000000">
        <w:rPr>
          <w:rtl w:val="0"/>
        </w:rPr>
        <w:t xml:space="preserve">Esses saberes tradicionais indígenas, em muitos casos, são subestimados ou negligenciados pelas políticas de desenvolvimento, mas sua integração pode ser essencial para um futuro mais sustentável. Os povos originários podem contribuir com uma compreensão profunda sobre como viver em harmonia com a natureza, preservando tanto os recursos naturais quanto a diversidade cultural, que são cruciais para enfrentar os desafios ecológicos e climáticos do século XXI.</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b w:val="1"/>
        </w:rPr>
      </w:pPr>
      <w:r w:rsidDel="00000000" w:rsidR="00000000" w:rsidRPr="00000000">
        <w:rPr>
          <w:b w:val="1"/>
          <w:rtl w:val="0"/>
        </w:rPr>
        <w:t xml:space="preserve">1.2 Tecnologia OPV (Painel Fotovoltáico Orgânico)</w:t>
      </w:r>
    </w:p>
    <w:p w:rsidR="00000000" w:rsidDel="00000000" w:rsidP="00000000" w:rsidRDefault="00000000" w:rsidRPr="00000000" w14:paraId="0000001F">
      <w:pPr>
        <w:spacing w:after="240" w:before="240" w:line="360" w:lineRule="auto"/>
        <w:ind w:left="0" w:firstLine="850.3937007874016"/>
        <w:jc w:val="both"/>
        <w:rPr/>
      </w:pPr>
      <w:r w:rsidDel="00000000" w:rsidR="00000000" w:rsidRPr="00000000">
        <w:rPr>
          <w:rtl w:val="0"/>
        </w:rPr>
        <w:t xml:space="preserve">A energia solar é  uma fonte de energia verde, pois ela se encaixa perfeitamente no conceito desde a cadeia de produção, até a distribuição e sua implementação. Como alternativa sustentável para a utilização da energia solar tem-se o painel fotovoltaico orgânico (OPV).  </w:t>
      </w:r>
    </w:p>
    <w:p w:rsidR="00000000" w:rsidDel="00000000" w:rsidP="00000000" w:rsidRDefault="00000000" w:rsidRPr="00000000" w14:paraId="00000020">
      <w:pPr>
        <w:spacing w:after="240" w:before="240" w:line="360" w:lineRule="auto"/>
        <w:ind w:left="0" w:firstLine="850.3937007874016"/>
        <w:jc w:val="both"/>
        <w:rPr/>
      </w:pPr>
      <w:r w:rsidDel="00000000" w:rsidR="00000000" w:rsidRPr="00000000">
        <w:rPr>
          <w:rtl w:val="0"/>
        </w:rPr>
        <w:t xml:space="preserve">As células fotovoltaicas orgânicas são maleáveis, transparentes, de baixo custo e possui a possibilidade de reciclagem após o uso. As expectativas de uso já são muitas sobre as células solares, com diversas possibilidades de aplicações e soluções, principalmente em projetos que demandam luminosidade e flexibilidade, visto que podem ser aplicadas em qualquer superfície. A sua leveza representa o alcance da mais leve tecnologia para produção de energia no mundo, usando 20 vezes menos energia que os painéis comuns. </w:t>
      </w:r>
    </w:p>
    <w:p w:rsidR="00000000" w:rsidDel="00000000" w:rsidP="00000000" w:rsidRDefault="00000000" w:rsidRPr="00000000" w14:paraId="00000021">
      <w:pPr>
        <w:spacing w:after="240" w:before="240" w:line="360" w:lineRule="auto"/>
        <w:ind w:left="0" w:firstLine="850.3937007874016"/>
        <w:jc w:val="both"/>
        <w:rPr/>
      </w:pPr>
      <w:r w:rsidDel="00000000" w:rsidR="00000000" w:rsidRPr="00000000">
        <w:rPr>
          <w:rtl w:val="0"/>
        </w:rPr>
        <w:t xml:space="preserve">A energia é produzida por células fotovoltaicas orgânicas que são constituídas por eletrodos impressos em polímeros orgânicos, condutores ou pequenas moléculas orgânicas que absorvem a luz solar e a luz </w:t>
      </w:r>
      <w:r w:rsidDel="00000000" w:rsidR="00000000" w:rsidRPr="00000000">
        <w:rPr>
          <w:i w:val="1"/>
          <w:rtl w:val="0"/>
        </w:rPr>
        <w:t xml:space="preserve">indoor</w:t>
      </w:r>
      <w:r w:rsidDel="00000000" w:rsidR="00000000" w:rsidRPr="00000000">
        <w:rPr>
          <w:rtl w:val="0"/>
        </w:rPr>
        <w:t xml:space="preserve"> (dentro de ambientes) e transportam a carga energética para o conversor, que transforma a energia térmica em elétrica. </w:t>
      </w:r>
    </w:p>
    <w:p w:rsidR="00000000" w:rsidDel="00000000" w:rsidP="00000000" w:rsidRDefault="00000000" w:rsidRPr="00000000" w14:paraId="00000022">
      <w:pPr>
        <w:spacing w:after="240" w:before="240" w:line="360" w:lineRule="auto"/>
        <w:ind w:left="0" w:firstLine="850.3937007874016"/>
        <w:jc w:val="both"/>
        <w:rPr/>
      </w:pPr>
      <w:r w:rsidDel="00000000" w:rsidR="00000000" w:rsidRPr="00000000">
        <w:rPr>
          <w:rtl w:val="0"/>
        </w:rPr>
        <w:t xml:space="preserve">Os filmes fotovoltaicos orgânicos (OPV) são energia da terceira geração da tecnologia de células solares, uma das alternativas mais sustentáveis e versáteis para geração de energia, produzindo energia diretamente da luz solar.  Além disso, apresenta uma eficiência geracional significativa sob luz artificial, usando materiais sintéticos orgânicos à base de carbono. O processo de produção demanda pequena quantidade de energia, especialmente quando comparado com outras tecnologias fotovoltaicas, resultando em uma baixa pegada de carbono. </w:t>
      </w:r>
    </w:p>
    <w:p w:rsidR="00000000" w:rsidDel="00000000" w:rsidP="00000000" w:rsidRDefault="00000000" w:rsidRPr="00000000" w14:paraId="00000023">
      <w:pPr>
        <w:spacing w:line="360" w:lineRule="auto"/>
        <w:ind w:firstLine="0"/>
        <w:jc w:val="both"/>
        <w:rPr>
          <w:b w:val="1"/>
        </w:rPr>
      </w:pPr>
      <w:r w:rsidDel="00000000" w:rsidR="00000000" w:rsidRPr="00000000">
        <w:rPr>
          <w:rtl w:val="0"/>
        </w:rPr>
      </w:r>
    </w:p>
    <w:p w:rsidR="00000000" w:rsidDel="00000000" w:rsidP="00000000" w:rsidRDefault="00000000" w:rsidRPr="00000000" w14:paraId="00000024">
      <w:pPr>
        <w:spacing w:line="360" w:lineRule="auto"/>
        <w:ind w:firstLine="0"/>
        <w:jc w:val="both"/>
        <w:rPr>
          <w:b w:val="1"/>
        </w:rPr>
      </w:pPr>
      <w:r w:rsidDel="00000000" w:rsidR="00000000" w:rsidRPr="00000000">
        <w:rPr>
          <w:b w:val="1"/>
          <w:rtl w:val="0"/>
        </w:rPr>
        <w:t xml:space="preserve">1.3 Tecnologia Nuclear </w:t>
      </w:r>
    </w:p>
    <w:p w:rsidR="00000000" w:rsidDel="00000000" w:rsidP="00000000" w:rsidRDefault="00000000" w:rsidRPr="00000000" w14:paraId="00000025">
      <w:pPr>
        <w:spacing w:after="0" w:line="360" w:lineRule="auto"/>
        <w:ind w:firstLine="0"/>
        <w:jc w:val="both"/>
        <w:rPr/>
      </w:pPr>
      <w:r w:rsidDel="00000000" w:rsidR="00000000" w:rsidRPr="00000000">
        <w:rPr>
          <w:b w:val="1"/>
          <w:sz w:val="18"/>
          <w:szCs w:val="18"/>
          <w:rtl w:val="0"/>
        </w:rPr>
        <w:t xml:space="preserve"> </w:t>
        <w:tab/>
      </w:r>
      <w:r w:rsidDel="00000000" w:rsidR="00000000" w:rsidRPr="00000000">
        <w:rPr>
          <w:rtl w:val="0"/>
        </w:rPr>
        <w:t xml:space="preserve">A energia nuclear tem sido uma das fontes mais controversas de energia desde a sua descoberta e subsequente uso durante o século XX. Embora ofereça uma fonte de energia extremamente eficiente (2 milhões de vezes mais que o carvão) que, segundo pesquisas, tem salvado 1,8 milhões de vidas devido ao fato de ser pouco nociva à atmosfera, sua associação com guerras e desastres históricos, como Chernobyl em 1986 e Fukushima em 2011, gerou um medo profundo na população global. Esse medo, entretanto, não é completamente racional e a compreensão científica e tecnológica sobre tal energia continua a evoluir, desafiando o senso comum.</w:t>
      </w:r>
    </w:p>
    <w:p w:rsidR="00000000" w:rsidDel="00000000" w:rsidP="00000000" w:rsidRDefault="00000000" w:rsidRPr="00000000" w14:paraId="00000026">
      <w:pPr>
        <w:spacing w:after="0" w:line="360" w:lineRule="auto"/>
        <w:ind w:firstLine="720"/>
        <w:jc w:val="both"/>
        <w:rPr/>
      </w:pPr>
      <w:r w:rsidDel="00000000" w:rsidR="00000000" w:rsidRPr="00000000">
        <w:rPr>
          <w:rtl w:val="0"/>
        </w:rPr>
        <w:t xml:space="preserve">Ao compreender desenvolvimentos recentes, seus benefícios, juntamente com as rigorosas e hoje bem-sucedidas medidas de segurança desenvolvidas ao longo das décadas, é possível superar tal medo, o qual tem impedido progresso científico inimaginável. A convivência da energia nuclear com o progresso humano é um tema de intenso estudo, especialmente considerando que, quando tida de forma segura, tal meio emite drasticamente menos gases de efeito estufa em comparação a combustíveis fósseis, podendo existir sem causar danos notáveis ao meio ambiente, visto que é pouco exigente em termos de fatores locais e expansão territorial.</w:t>
      </w:r>
    </w:p>
    <w:p w:rsidR="00000000" w:rsidDel="00000000" w:rsidP="00000000" w:rsidRDefault="00000000" w:rsidRPr="00000000" w14:paraId="00000027">
      <w:pPr>
        <w:spacing w:after="0" w:line="360" w:lineRule="auto"/>
        <w:ind w:firstLine="720"/>
        <w:jc w:val="both"/>
        <w:rPr/>
      </w:pPr>
      <w:r w:rsidDel="00000000" w:rsidR="00000000" w:rsidRPr="00000000">
        <w:rPr>
          <w:rtl w:val="0"/>
        </w:rPr>
        <w:t xml:space="preserve">Com isso, pretende-se construir uma pequena usina (que funciona à base de peróxido de hidrogênio e permanganato de potássio), junto de uma pequena cidade para demonstrar sua eficácia, a fim de aprofundar estes conhecimentos e saberes e conscientizar a população sobre a realidade de tal tecnologia. Desmistificando assim, vários mitos acerca desta fonte de energia, adjunto a todos os seus níveis de segurança e administrativos que pressupõem grandes desafios até os dias atuais, sendo esse o estágio mais abrangente dos benefícios que tecnologias alternativas podem trazer.</w:t>
      </w:r>
    </w:p>
    <w:p w:rsidR="00000000" w:rsidDel="00000000" w:rsidP="00000000" w:rsidRDefault="00000000" w:rsidRPr="00000000" w14:paraId="00000028">
      <w:pPr>
        <w:spacing w:line="360" w:lineRule="auto"/>
        <w:ind w:firstLine="0"/>
        <w:jc w:val="both"/>
        <w:rPr>
          <w:b w:val="1"/>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Conclusões</w:t>
      </w:r>
    </w:p>
    <w:p w:rsidR="00000000" w:rsidDel="00000000" w:rsidP="00000000" w:rsidRDefault="00000000" w:rsidRPr="00000000" w14:paraId="0000002A">
      <w:pPr>
        <w:spacing w:after="240" w:before="240" w:line="360" w:lineRule="auto"/>
        <w:ind w:firstLine="0"/>
        <w:jc w:val="both"/>
        <w:rPr/>
      </w:pPr>
      <w:r w:rsidDel="00000000" w:rsidR="00000000" w:rsidRPr="00000000">
        <w:rPr>
          <w:rtl w:val="0"/>
        </w:rPr>
        <w:t xml:space="preserve"> </w:t>
        <w:tab/>
        <w:t xml:space="preserve">Ao longo deste trabalho, foi possível demonstrar que tecnologias alternativas e conhecimentos tradicionais, muitas vezes subestimados, desempenham um papel crucial na construção de uma sociedade mais sustentável. As práticas indígenas podem revelar um caminho viável para a preservação dos biomas brasileiros, especialmente o cerrado. Além disso, a exploração de novas tecnologias como os painéis fotovoltaicos orgânicos (OPV) e a energia nuclear mostra que é mais do que possível conciliar progresso científico com responsabilidade ambiental.</w:t>
      </w:r>
    </w:p>
    <w:p w:rsidR="00000000" w:rsidDel="00000000" w:rsidP="00000000" w:rsidRDefault="00000000" w:rsidRPr="00000000" w14:paraId="0000002B">
      <w:pPr>
        <w:spacing w:after="240" w:before="240" w:line="360" w:lineRule="auto"/>
        <w:ind w:firstLine="0"/>
        <w:jc w:val="both"/>
        <w:rPr/>
      </w:pPr>
      <w:r w:rsidDel="00000000" w:rsidR="00000000" w:rsidRPr="00000000">
        <w:rPr>
          <w:rtl w:val="0"/>
        </w:rPr>
        <w:t xml:space="preserve"> </w:t>
        <w:tab/>
        <w:t xml:space="preserve">A combinação desses saberes e inovações tecnológicas, ao contrário de serem opostas, pode contribuir significativamente para a criação de uma "cidade ideal", onde a sustentabilidade e o desenvolvimento caminham juntos. Ao valorizar os conhecimentos indígenas e incorporar tecnologias limpas e seguras, como as energias solar e nuclear, é possível enfrentar os desafios ambientais do século XXI e promover uma convivência mais harmônica com o meio ambiente.</w:t>
      </w:r>
    </w:p>
    <w:p w:rsidR="00000000" w:rsidDel="00000000" w:rsidP="00000000" w:rsidRDefault="00000000" w:rsidRPr="00000000" w14:paraId="0000002C">
      <w:pPr>
        <w:spacing w:after="240" w:before="240" w:line="360" w:lineRule="auto"/>
        <w:ind w:firstLine="0"/>
        <w:jc w:val="both"/>
        <w:rPr>
          <w:b w:val="1"/>
        </w:rPr>
      </w:pPr>
      <w:r w:rsidDel="00000000" w:rsidR="00000000" w:rsidRPr="00000000">
        <w:rPr>
          <w:rtl w:val="0"/>
        </w:rPr>
        <w:t xml:space="preserve"> </w:t>
        <w:tab/>
        <w:t xml:space="preserve">Por meio da conscientização e da implementação dessas soluções, a sociedade pode avançar para um futuro em que o crescimento tecnológico e a preservação ambiental não sejam excludentes, mas complementares.</w:t>
      </w:r>
      <w:r w:rsidDel="00000000" w:rsidR="00000000" w:rsidRPr="00000000">
        <w:rPr>
          <w:rtl w:val="0"/>
        </w:rPr>
      </w:r>
    </w:p>
    <w:p w:rsidR="00000000" w:rsidDel="00000000" w:rsidP="00000000" w:rsidRDefault="00000000" w:rsidRPr="00000000" w14:paraId="0000002D">
      <w:pPr>
        <w:spacing w:line="360" w:lineRule="auto"/>
        <w:ind w:firstLine="0"/>
        <w:rPr>
          <w:b w:val="1"/>
        </w:rPr>
      </w:pPr>
      <w:r w:rsidDel="00000000" w:rsidR="00000000" w:rsidRPr="00000000">
        <w:rPr>
          <w:rtl w:val="0"/>
        </w:rPr>
      </w:r>
    </w:p>
    <w:p w:rsidR="00000000" w:rsidDel="00000000" w:rsidP="00000000" w:rsidRDefault="00000000" w:rsidRPr="00000000" w14:paraId="0000002E">
      <w:pPr>
        <w:spacing w:line="360" w:lineRule="auto"/>
        <w:ind w:firstLine="0"/>
        <w:rPr>
          <w:b w:val="1"/>
        </w:rPr>
      </w:pPr>
      <w:r w:rsidDel="00000000" w:rsidR="00000000" w:rsidRPr="00000000">
        <w:rPr>
          <w:b w:val="1"/>
          <w:rtl w:val="0"/>
        </w:rPr>
        <w:t xml:space="preserve">Referências </w:t>
      </w:r>
    </w:p>
    <w:p w:rsidR="00000000" w:rsidDel="00000000" w:rsidP="00000000" w:rsidRDefault="00000000" w:rsidRPr="00000000" w14:paraId="0000002F">
      <w:pPr>
        <w:spacing w:line="360" w:lineRule="auto"/>
        <w:ind w:firstLine="0"/>
        <w:rPr/>
      </w:pPr>
      <w:r w:rsidDel="00000000" w:rsidR="00000000" w:rsidRPr="00000000">
        <w:rPr>
          <w:rtl w:val="0"/>
        </w:rPr>
        <w:t xml:space="preserve">KRENAK, Ailton. </w:t>
      </w:r>
      <w:r w:rsidDel="00000000" w:rsidR="00000000" w:rsidRPr="00000000">
        <w:rPr>
          <w:b w:val="1"/>
          <w:rtl w:val="0"/>
        </w:rPr>
        <w:t xml:space="preserve">A vida não é útil</w:t>
      </w:r>
      <w:r w:rsidDel="00000000" w:rsidR="00000000" w:rsidRPr="00000000">
        <w:rPr>
          <w:rtl w:val="0"/>
        </w:rPr>
        <w:t xml:space="preserve">. São Paulo: Companhia das Letras, 2020.</w:t>
      </w:r>
    </w:p>
    <w:p w:rsidR="00000000" w:rsidDel="00000000" w:rsidP="00000000" w:rsidRDefault="00000000" w:rsidRPr="00000000" w14:paraId="00000030">
      <w:pPr>
        <w:spacing w:line="360" w:lineRule="auto"/>
        <w:ind w:firstLine="0"/>
        <w:rPr/>
      </w:pPr>
      <w:r w:rsidDel="00000000" w:rsidR="00000000" w:rsidRPr="00000000">
        <w:rPr>
          <w:rtl w:val="0"/>
        </w:rPr>
        <w:t xml:space="preserve">KRENAK, Ailton. </w:t>
      </w:r>
      <w:r w:rsidDel="00000000" w:rsidR="00000000" w:rsidRPr="00000000">
        <w:rPr>
          <w:b w:val="1"/>
          <w:rtl w:val="0"/>
        </w:rPr>
        <w:t xml:space="preserve">O amanhã não está à venda</w:t>
      </w:r>
      <w:r w:rsidDel="00000000" w:rsidR="00000000" w:rsidRPr="00000000">
        <w:rPr>
          <w:rtl w:val="0"/>
        </w:rPr>
        <w:t xml:space="preserve">. São Paulo: Companhia das Letras, 2020.</w:t>
      </w:r>
    </w:p>
    <w:p w:rsidR="00000000" w:rsidDel="00000000" w:rsidP="00000000" w:rsidRDefault="00000000" w:rsidRPr="00000000" w14:paraId="00000031">
      <w:pPr>
        <w:spacing w:line="360" w:lineRule="auto"/>
        <w:ind w:firstLine="0"/>
        <w:rPr/>
      </w:pPr>
      <w:r w:rsidDel="00000000" w:rsidR="00000000" w:rsidRPr="00000000">
        <w:rPr>
          <w:color w:val="202122"/>
          <w:highlight w:val="white"/>
          <w:rtl w:val="0"/>
        </w:rPr>
        <w:t xml:space="preserve">SCHIFFMANN, Richard. </w:t>
      </w:r>
      <w:r w:rsidDel="00000000" w:rsidR="00000000" w:rsidRPr="00000000">
        <w:rPr>
          <w:b w:val="1"/>
          <w:color w:val="202122"/>
          <w:highlight w:val="white"/>
          <w:rtl w:val="0"/>
        </w:rPr>
        <w:t xml:space="preserve">"Two years on, America hasn't learned lessons of Fukushima nuclear disaster"</w:t>
      </w:r>
      <w:r w:rsidDel="00000000" w:rsidR="00000000" w:rsidRPr="00000000">
        <w:rPr>
          <w:color w:val="202122"/>
          <w:highlight w:val="white"/>
          <w:rtl w:val="0"/>
        </w:rPr>
        <w:t xml:space="preserve">. The Guardian, 2013.</w:t>
      </w:r>
      <w:r w:rsidDel="00000000" w:rsidR="00000000" w:rsidRPr="00000000">
        <w:rPr>
          <w:rtl w:val="0"/>
        </w:rPr>
      </w:r>
    </w:p>
    <w:p w:rsidR="00000000" w:rsidDel="00000000" w:rsidP="00000000" w:rsidRDefault="00000000" w:rsidRPr="00000000" w14:paraId="00000032">
      <w:pPr>
        <w:spacing w:after="0" w:line="276" w:lineRule="auto"/>
        <w:ind w:firstLine="0"/>
        <w:jc w:val="both"/>
        <w:rPr>
          <w:b w:val="1"/>
        </w:rPr>
      </w:pPr>
      <w:r w:rsidDel="00000000" w:rsidR="00000000" w:rsidRPr="00000000">
        <w:rPr>
          <w:rtl w:val="0"/>
        </w:rPr>
        <w:t xml:space="preserve">PRASS, Alberto Ricardo. </w:t>
      </w:r>
      <w:r w:rsidDel="00000000" w:rsidR="00000000" w:rsidRPr="00000000">
        <w:rPr>
          <w:b w:val="1"/>
          <w:rtl w:val="0"/>
        </w:rPr>
        <w:t xml:space="preserve">A energia nuclear hoje: uma análise explanatória.</w:t>
      </w:r>
    </w:p>
    <w:p w:rsidR="00000000" w:rsidDel="00000000" w:rsidP="00000000" w:rsidRDefault="00000000" w:rsidRPr="00000000" w14:paraId="00000033">
      <w:pPr>
        <w:spacing w:after="0" w:line="276" w:lineRule="auto"/>
        <w:ind w:firstLine="0"/>
        <w:jc w:val="both"/>
        <w:rPr/>
      </w:pPr>
      <w:r w:rsidDel="00000000" w:rsidR="00000000" w:rsidRPr="00000000">
        <w:rPr>
          <w:rtl w:val="0"/>
        </w:rPr>
        <w:t xml:space="preserve">Disponível em: </w:t>
      </w:r>
      <w:hyperlink r:id="rId7">
        <w:r w:rsidDel="00000000" w:rsidR="00000000" w:rsidRPr="00000000">
          <w:rPr>
            <w:color w:val="1155cc"/>
            <w:u w:val="single"/>
            <w:rtl w:val="0"/>
          </w:rPr>
          <w:t xml:space="preserve">https://www.fisica.net/monografias/A_Energia_Nuclear_Hoje.pdf</w:t>
        </w:r>
      </w:hyperlink>
      <w:r w:rsidDel="00000000" w:rsidR="00000000" w:rsidRPr="00000000">
        <w:rPr>
          <w:rtl w:val="0"/>
        </w:rPr>
      </w:r>
    </w:p>
    <w:p w:rsidR="00000000" w:rsidDel="00000000" w:rsidP="00000000" w:rsidRDefault="00000000" w:rsidRPr="00000000" w14:paraId="00000034">
      <w:pPr>
        <w:spacing w:after="0" w:line="276" w:lineRule="auto"/>
        <w:ind w:firstLine="0"/>
        <w:jc w:val="both"/>
        <w:rPr>
          <w:color w:val="202122"/>
          <w:highlight w:val="white"/>
        </w:rPr>
      </w:pPr>
      <w:r w:rsidDel="00000000" w:rsidR="00000000" w:rsidRPr="00000000">
        <w:rPr>
          <w:rtl w:val="0"/>
        </w:rPr>
        <w:t xml:space="preserve">Acesso em 05\07\2024.</w:t>
      </w:r>
      <w:r w:rsidDel="00000000" w:rsidR="00000000" w:rsidRPr="00000000">
        <w:rPr>
          <w:rtl w:val="0"/>
        </w:rPr>
      </w:r>
    </w:p>
    <w:p w:rsidR="00000000" w:rsidDel="00000000" w:rsidP="00000000" w:rsidRDefault="00000000" w:rsidRPr="00000000" w14:paraId="00000035">
      <w:pPr>
        <w:spacing w:line="360" w:lineRule="auto"/>
        <w:ind w:firstLine="0"/>
        <w:jc w:val="center"/>
        <w:rPr>
          <w:i w:val="1"/>
        </w:rPr>
      </w:pPr>
      <w:bookmarkStart w:colFirst="0" w:colLast="0" w:name="_heading=h.gjdgxs" w:id="0"/>
      <w:bookmarkEnd w:id="0"/>
      <w:r w:rsidDel="00000000" w:rsidR="00000000" w:rsidRPr="00000000">
        <w:rPr>
          <w:rtl w:val="0"/>
        </w:rPr>
      </w:r>
    </w:p>
    <w:sectPr>
      <w:headerReference r:id="rId8" w:type="default"/>
      <w:headerReference r:id="rId9" w:type="first"/>
      <w:headerReference r:id="rId10" w:type="even"/>
      <w:footerReference r:id="rId11" w:type="default"/>
      <w:pgSz w:h="16838" w:w="11906" w:orient="portrait"/>
      <w:pgMar w:bottom="1418" w:top="1985" w:left="1418" w:right="1418" w:header="709" w:footer="61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right" w:leader="none" w:pos="8789"/>
      </w:tabs>
      <w:spacing w:after="0" w:before="12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XX</w:t>
    </w:r>
    <w:r w:rsidDel="00000000" w:rsidR="00000000" w:rsidRPr="00000000">
      <w:rPr>
        <w:b w:val="1"/>
        <w:sz w:val="20"/>
        <w:szCs w:val="20"/>
        <w:rtl w:val="0"/>
      </w:rPr>
      <w:t xml:space="preserve">IX</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Ciência Viva – 202</w:t>
    </w:r>
    <w:r w:rsidDel="00000000" w:rsidR="00000000" w:rsidRPr="00000000">
      <w:rPr>
        <w:b w:val="1"/>
        <w:sz w:val="20"/>
        <w:szCs w:val="20"/>
        <w:rtl w:val="0"/>
      </w:rPr>
      <w:t xml:space="preserve">4</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ab/>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Uberlândia/MG, </w:t>
    </w:r>
    <w:r w:rsidDel="00000000" w:rsidR="00000000" w:rsidRPr="00000000">
      <w:rPr>
        <w:b w:val="1"/>
        <w:sz w:val="20"/>
        <w:szCs w:val="20"/>
        <w:rtl w:val="0"/>
      </w:rPr>
      <w:t xml:space="preserve">12</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a </w:t>
    </w:r>
    <w:r w:rsidDel="00000000" w:rsidR="00000000" w:rsidRPr="00000000">
      <w:rPr>
        <w:b w:val="1"/>
        <w:sz w:val="20"/>
        <w:szCs w:val="20"/>
        <w:rtl w:val="0"/>
      </w:rPr>
      <w:t xml:space="preserve">13</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de novembro de 202</w:t>
    </w:r>
    <w:r w:rsidDel="00000000" w:rsidR="00000000" w:rsidRPr="00000000">
      <w:rPr>
        <w:b w:val="1"/>
        <w:sz w:val="20"/>
        <w:szCs w:val="20"/>
        <w:rtl w:val="0"/>
      </w:rPr>
      <w:t xml:space="preserve">4</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-92229</wp:posOffset>
              </wp:positionH>
              <wp:positionV relativeFrom="paragraph">
                <wp:posOffset>33150</wp:posOffset>
              </wp:positionV>
              <wp:extent cx="5943600" cy="12700"/>
              <wp:effectExtent b="0" l="0" r="0" t="0"/>
              <wp:wrapNone/>
              <wp:docPr id="16" name=""/>
              <a:graphic>
                <a:graphicData uri="http://schemas.microsoft.com/office/word/2010/wordprocessingShape">
                  <wps:wsp>
                    <wps:cNvCnPr/>
                    <wps:spPr>
                      <a:xfrm>
                        <a:off x="2374200" y="3780000"/>
                        <a:ext cx="59436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-92229</wp:posOffset>
              </wp:positionH>
              <wp:positionV relativeFrom="paragraph">
                <wp:posOffset>33150</wp:posOffset>
              </wp:positionV>
              <wp:extent cx="5943600" cy="12700"/>
              <wp:effectExtent b="0" l="0" r="0" t="0"/>
              <wp:wrapNone/>
              <wp:docPr id="16"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594360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-12699</wp:posOffset>
              </wp:positionH>
              <wp:positionV relativeFrom="paragraph">
                <wp:posOffset>25400</wp:posOffset>
              </wp:positionV>
              <wp:extent cx="0" cy="12700"/>
              <wp:effectExtent b="0" l="0" r="0" t="0"/>
              <wp:wrapNone/>
              <wp:docPr id="13" name=""/>
              <a:graphic>
                <a:graphicData uri="http://schemas.microsoft.com/office/word/2010/wordprocessingShape">
                  <wps:wsp>
                    <wps:cNvCnPr/>
                    <wps:spPr>
                      <a:xfrm>
                        <a:off x="2353245" y="3780000"/>
                        <a:ext cx="598551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25400</wp:posOffset>
              </wp:positionV>
              <wp:extent cx="0" cy="12700"/>
              <wp:effectExtent b="0" l="0" r="0" t="0"/>
              <wp:wrapNone/>
              <wp:docPr id="13"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120" w:line="240" w:lineRule="auto"/>
      <w:ind w:left="0" w:right="0" w:firstLine="851"/>
      <w:jc w:val="righ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120" w:before="0" w:line="240" w:lineRule="auto"/>
      <w:ind w:left="0" w:right="0" w:firstLine="85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-92229</wp:posOffset>
              </wp:positionH>
              <wp:positionV relativeFrom="paragraph">
                <wp:posOffset>685800</wp:posOffset>
              </wp:positionV>
              <wp:extent cx="5943600" cy="12700"/>
              <wp:effectExtent b="0" l="0" r="0" t="0"/>
              <wp:wrapNone/>
              <wp:docPr id="14" name=""/>
              <a:graphic>
                <a:graphicData uri="http://schemas.microsoft.com/office/word/2010/wordprocessingShape">
                  <wps:wsp>
                    <wps:cNvCnPr/>
                    <wps:spPr>
                      <a:xfrm>
                        <a:off x="2374200" y="3780000"/>
                        <a:ext cx="59436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-92229</wp:posOffset>
              </wp:positionH>
              <wp:positionV relativeFrom="paragraph">
                <wp:posOffset>685800</wp:posOffset>
              </wp:positionV>
              <wp:extent cx="5943600" cy="12700"/>
              <wp:effectExtent b="0" l="0" r="0" t="0"/>
              <wp:wrapNone/>
              <wp:docPr id="14"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594360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-12699</wp:posOffset>
              </wp:positionH>
              <wp:positionV relativeFrom="paragraph">
                <wp:posOffset>711200</wp:posOffset>
              </wp:positionV>
              <wp:extent cx="0" cy="12700"/>
              <wp:effectExtent b="0" l="0" r="0" t="0"/>
              <wp:wrapNone/>
              <wp:docPr id="15" name=""/>
              <a:graphic>
                <a:graphicData uri="http://schemas.microsoft.com/office/word/2010/wordprocessingShape">
                  <wps:wsp>
                    <wps:cNvCnPr/>
                    <wps:spPr>
                      <a:xfrm>
                        <a:off x="2374200" y="3780000"/>
                        <a:ext cx="594360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711200</wp:posOffset>
              </wp:positionV>
              <wp:extent cx="0" cy="12700"/>
              <wp:effectExtent b="0" l="0" r="0" t="0"/>
              <wp:wrapNone/>
              <wp:docPr id="15"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0" cy="1270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wp:posOffset>
          </wp:positionH>
          <wp:positionV relativeFrom="paragraph">
            <wp:posOffset>95250</wp:posOffset>
          </wp:positionV>
          <wp:extent cx="1619250" cy="485775"/>
          <wp:effectExtent b="0" l="0" r="0" t="0"/>
          <wp:wrapNone/>
          <wp:docPr id="17"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1619250" cy="48577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2400300</wp:posOffset>
          </wp:positionH>
          <wp:positionV relativeFrom="paragraph">
            <wp:posOffset>-6983</wp:posOffset>
          </wp:positionV>
          <wp:extent cx="942975" cy="676275"/>
          <wp:effectExtent b="0" l="0" r="0" t="0"/>
          <wp:wrapNone/>
          <wp:docPr id="19" name="image2.png"/>
          <a:graphic>
            <a:graphicData uri="http://schemas.openxmlformats.org/drawingml/2006/picture">
              <pic:pic>
                <pic:nvPicPr>
                  <pic:cNvPr id="0" name="image2.png"/>
                  <pic:cNvPicPr preferRelativeResize="0"/>
                </pic:nvPicPr>
                <pic:blipFill>
                  <a:blip r:embed="rId4"/>
                  <a:srcRect b="0" l="0" r="0" t="0"/>
                  <a:stretch>
                    <a:fillRect/>
                  </a:stretch>
                </pic:blipFill>
                <pic:spPr>
                  <a:xfrm>
                    <a:off x="0" y="0"/>
                    <a:ext cx="942975" cy="67627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4419600</wp:posOffset>
          </wp:positionH>
          <wp:positionV relativeFrom="paragraph">
            <wp:posOffset>57150</wp:posOffset>
          </wp:positionV>
          <wp:extent cx="1514475" cy="523875"/>
          <wp:effectExtent b="0" l="0" r="0" t="0"/>
          <wp:wrapNone/>
          <wp:docPr id="18" name="image3.png"/>
          <a:graphic>
            <a:graphicData uri="http://schemas.openxmlformats.org/drawingml/2006/picture">
              <pic:pic>
                <pic:nvPicPr>
                  <pic:cNvPr id="0" name="image3.png"/>
                  <pic:cNvPicPr preferRelativeResize="0"/>
                </pic:nvPicPr>
                <pic:blipFill>
                  <a:blip r:embed="rId5"/>
                  <a:srcRect b="0" l="0" r="0" t="0"/>
                  <a:stretch>
                    <a:fillRect/>
                  </a:stretch>
                </pic:blipFill>
                <pic:spPr>
                  <a:xfrm>
                    <a:off x="0" y="0"/>
                    <a:ext cx="1514475" cy="52387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keepNext w:val="0"/>
      <w:keepLines w:val="0"/>
      <w:widowControl w:val="1"/>
      <w:pBdr>
        <w:top w:space="0" w:sz="0" w:val="nil"/>
        <w:left w:space="0" w:sz="0" w:val="nil"/>
        <w:bottom w:color="000000" w:space="1" w:sz="4" w:val="single"/>
        <w:right w:space="0" w:sz="0" w:val="nil"/>
        <w:between w:space="0" w:sz="0" w:val="nil"/>
      </w:pBdr>
      <w:shd w:fill="auto" w:val="clear"/>
      <w:tabs>
        <w:tab w:val="center" w:leader="none" w:pos="4252"/>
        <w:tab w:val="right" w:leader="none" w:pos="8504"/>
        <w:tab w:val="left" w:leader="none" w:pos="8115"/>
        <w:tab w:val="left" w:leader="none" w:pos="8160"/>
        <w:tab w:val="left" w:leader="none" w:pos="8820"/>
        <w:tab w:val="right" w:leader="none" w:pos="9000"/>
      </w:tabs>
      <w:spacing w:after="120" w:before="0" w:line="240" w:lineRule="auto"/>
      <w:ind w:left="0" w:right="7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XVIII Simpósio Nacional de Ensino de Física – SNEF 2009 – Vitória, 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tab/>
      <w:tab/>
      <w:tab/>
    </w:r>
    <w:r w:rsidDel="00000000" w:rsidR="00000000" w:rsidRPr="00000000">
      <w:rPr>
        <w:rFonts w:ascii="Arial" w:cs="Arial" w:eastAsia="Arial" w:hAnsi="Arial"/>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120" w:before="0" w:line="240" w:lineRule="auto"/>
      <w:ind w:left="0" w:right="0" w:firstLine="851"/>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120" w:before="0" w:line="240" w:lineRule="auto"/>
      <w:ind w:left="0" w:right="360" w:firstLine="85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BR"/>
      </w:rPr>
    </w:rPrDefault>
    <w:pPrDefault>
      <w:pPr>
        <w:spacing w:after="120" w:lineRule="auto"/>
        <w:ind w:firstLine="85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spacing w:after="60" w:before="240" w:lineRule="auto"/>
    </w:pPr>
    <w:rPr>
      <w:rFonts w:ascii="Arial" w:cs="Arial" w:eastAsia="Arial" w:hAnsi="Arial"/>
      <w:b w:val="1"/>
      <w:sz w:val="26"/>
      <w:szCs w:val="2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spacing w:after="60" w:before="240" w:lineRule="auto"/>
    </w:pPr>
    <w:rPr>
      <w:rFonts w:ascii="Arial" w:cs="Arial" w:eastAsia="Arial" w:hAnsi="Arial"/>
      <w:b w:val="1"/>
      <w:sz w:val="26"/>
      <w:szCs w:val="2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E7C3A"/>
    <w:pPr>
      <w:spacing w:after="120"/>
      <w:ind w:firstLine="851"/>
    </w:pPr>
    <w:rPr>
      <w:sz w:val="24"/>
      <w:szCs w:val="24"/>
    </w:rPr>
  </w:style>
  <w:style w:type="paragraph" w:styleId="Ttulo1">
    <w:name w:val="heading 1"/>
    <w:basedOn w:val="Normal"/>
    <w:next w:val="Normal"/>
    <w:qFormat w:val="1"/>
    <w:rsid w:val="00FE7C3A"/>
    <w:pPr>
      <w:keepNext w:val="1"/>
      <w:spacing w:after="60" w:before="240"/>
      <w:outlineLvl w:val="0"/>
    </w:pPr>
    <w:rPr>
      <w:rFonts w:ascii="Arial" w:cs="Arial" w:hAnsi="Arial"/>
      <w:b w:val="1"/>
      <w:bCs w:val="1"/>
      <w:kern w:val="32"/>
      <w:sz w:val="32"/>
      <w:szCs w:val="32"/>
    </w:rPr>
  </w:style>
  <w:style w:type="paragraph" w:styleId="Ttulo3">
    <w:name w:val="heading 3"/>
    <w:basedOn w:val="Normal"/>
    <w:next w:val="Normal"/>
    <w:qFormat w:val="1"/>
    <w:rsid w:val="00FE7C3A"/>
    <w:pPr>
      <w:keepNext w:val="1"/>
      <w:spacing w:after="60" w:before="240"/>
      <w:outlineLvl w:val="2"/>
    </w:pPr>
    <w:rPr>
      <w:rFonts w:ascii="Arial" w:cs="Arial" w:hAnsi="Arial"/>
      <w:b w:val="1"/>
      <w:bCs w:val="1"/>
      <w:sz w:val="26"/>
      <w:szCs w:val="26"/>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XIEPEF-TtulodeSeo" w:customStyle="1">
    <w:name w:val="XI EPEF - Título de Seção"/>
    <w:basedOn w:val="Ttulo1"/>
    <w:rsid w:val="00FE7C3A"/>
    <w:pPr>
      <w:spacing w:after="100" w:afterAutospacing="1"/>
    </w:pPr>
    <w:rPr>
      <w:sz w:val="24"/>
    </w:rPr>
  </w:style>
  <w:style w:type="paragraph" w:styleId="XIEPEF-resumodoartigo" w:customStyle="1">
    <w:name w:val="XI EPEF - resumo do artigo"/>
    <w:basedOn w:val="Normal"/>
    <w:rsid w:val="00FE7C3A"/>
    <w:pPr>
      <w:spacing w:after="100" w:afterAutospacing="1"/>
      <w:jc w:val="both"/>
    </w:pPr>
    <w:rPr>
      <w:rFonts w:ascii="Arial" w:hAnsi="Arial"/>
    </w:rPr>
  </w:style>
  <w:style w:type="paragraph" w:styleId="XIEPEF-cincopalavraschave-portuguesingls" w:customStyle="1">
    <w:name w:val="XI EPEF - cinco palavras chave - portugues/inglês"/>
    <w:basedOn w:val="Normal"/>
    <w:rsid w:val="00FE7C3A"/>
    <w:pPr>
      <w:spacing w:after="100" w:afterAutospacing="1"/>
    </w:pPr>
    <w:rPr>
      <w:rFonts w:ascii="Arial" w:hAnsi="Arial"/>
    </w:rPr>
  </w:style>
  <w:style w:type="paragraph" w:styleId="XIEPEF-AUTORES" w:customStyle="1">
    <w:name w:val="XI EPEF - AUTORES"/>
    <w:basedOn w:val="Normal"/>
    <w:rsid w:val="00FE7C3A"/>
    <w:pPr>
      <w:spacing w:after="100" w:afterAutospacing="1"/>
      <w:jc w:val="center"/>
    </w:pPr>
    <w:rPr>
      <w:rFonts w:ascii="Arial" w:hAnsi="Arial"/>
      <w:b w:val="1"/>
    </w:rPr>
  </w:style>
  <w:style w:type="paragraph" w:styleId="XIEPEF-instituiodepartamentoescola" w:customStyle="1">
    <w:name w:val="XIEPEF - instituição/departamento/escola"/>
    <w:aliases w:val="e e-mail"/>
    <w:basedOn w:val="Normal"/>
    <w:rsid w:val="00FE7C3A"/>
    <w:pPr>
      <w:jc w:val="center"/>
    </w:pPr>
    <w:rPr>
      <w:rFonts w:ascii="Arial" w:cs="Arial" w:hAnsi="Arial"/>
      <w:sz w:val="20"/>
      <w:szCs w:val="20"/>
    </w:rPr>
  </w:style>
  <w:style w:type="paragraph" w:styleId="XIEPEF-TTULO-PORTUGUS" w:customStyle="1">
    <w:name w:val="XI EPEF - TÍTULO - PORTUGUÊS"/>
    <w:basedOn w:val="XIEPEF-cincopalavraschave-portuguesingls"/>
    <w:rsid w:val="00FE7C3A"/>
    <w:pPr>
      <w:jc w:val="center"/>
    </w:pPr>
    <w:rPr>
      <w:rFonts w:cs="Arial"/>
      <w:b w:val="1"/>
      <w:sz w:val="28"/>
      <w:szCs w:val="28"/>
    </w:rPr>
  </w:style>
  <w:style w:type="paragraph" w:styleId="XIEPEF-TextoNormal" w:customStyle="1">
    <w:name w:val="XI EPEF - Texto Normal"/>
    <w:basedOn w:val="Normal"/>
    <w:rsid w:val="00FE7C3A"/>
    <w:pPr>
      <w:jc w:val="both"/>
    </w:pPr>
    <w:rPr>
      <w:rFonts w:ascii="Arial" w:hAnsi="Arial"/>
    </w:rPr>
  </w:style>
  <w:style w:type="paragraph" w:styleId="XIEPEF-Subttulo1" w:customStyle="1">
    <w:name w:val="XI EPEF - Subtítulo 1"/>
    <w:basedOn w:val="XIEPEF-TtulodeSeo"/>
    <w:rsid w:val="00FE7C3A"/>
    <w:rPr>
      <w:i w:val="1"/>
    </w:rPr>
  </w:style>
  <w:style w:type="paragraph" w:styleId="Cabealho">
    <w:name w:val="header"/>
    <w:basedOn w:val="Normal"/>
    <w:rsid w:val="00FE7C3A"/>
    <w:pPr>
      <w:tabs>
        <w:tab w:val="center" w:pos="4252"/>
        <w:tab w:val="right" w:pos="8504"/>
      </w:tabs>
    </w:pPr>
  </w:style>
  <w:style w:type="paragraph" w:styleId="XIEPEF-Subttulo2" w:customStyle="1">
    <w:name w:val="XI EPEF - Subtítulo 2"/>
    <w:basedOn w:val="Ttulo3"/>
    <w:rsid w:val="00FE7C3A"/>
    <w:pPr>
      <w:spacing w:after="100" w:afterAutospacing="1"/>
    </w:pPr>
    <w:rPr>
      <w:sz w:val="22"/>
      <w:szCs w:val="22"/>
    </w:rPr>
  </w:style>
  <w:style w:type="paragraph" w:styleId="Rodap">
    <w:name w:val="footer"/>
    <w:basedOn w:val="Normal"/>
    <w:link w:val="RodapChar"/>
    <w:uiPriority w:val="99"/>
    <w:rsid w:val="00FE7C3A"/>
    <w:pPr>
      <w:tabs>
        <w:tab w:val="center" w:pos="4252"/>
        <w:tab w:val="right" w:pos="8504"/>
      </w:tabs>
    </w:pPr>
  </w:style>
  <w:style w:type="character" w:styleId="Nmerodepgina">
    <w:name w:val="page number"/>
    <w:rsid w:val="00FE7C3A"/>
    <w:rPr>
      <w:rFonts w:cs="Times New Roman"/>
    </w:rPr>
  </w:style>
  <w:style w:type="character" w:styleId="Hyperlink">
    <w:name w:val="Hyperlink"/>
    <w:rsid w:val="00FE7C3A"/>
    <w:rPr>
      <w:rFonts w:cs="Times New Roman"/>
      <w:color w:val="0000ff"/>
      <w:u w:val="single"/>
    </w:rPr>
  </w:style>
  <w:style w:type="paragraph" w:styleId="Citacoesoutrosautores" w:customStyle="1">
    <w:name w:val="Citacoes_outros_autores"/>
    <w:basedOn w:val="Normal"/>
    <w:rsid w:val="00FE7C3A"/>
    <w:pPr>
      <w:ind w:left="2268" w:firstLine="0"/>
      <w:jc w:val="both"/>
    </w:pPr>
    <w:rPr>
      <w:rFonts w:ascii="Arial" w:cs="Arial" w:hAnsi="Arial"/>
      <w:sz w:val="18"/>
    </w:rPr>
  </w:style>
  <w:style w:type="paragraph" w:styleId="Citacoessujeitospesquisa" w:customStyle="1">
    <w:name w:val="Citacoes_sujeitos_pesquisa"/>
    <w:basedOn w:val="Citacoesoutrosautores"/>
    <w:rsid w:val="00FE7C3A"/>
    <w:rPr>
      <w:i w:val="1"/>
    </w:rPr>
  </w:style>
  <w:style w:type="table" w:styleId="Tabelacomgrade">
    <w:name w:val="Table Grid"/>
    <w:basedOn w:val="Tabelanormal"/>
    <w:rsid w:val="00FE7C3A"/>
    <w:pPr>
      <w:spacing w:after="120"/>
      <w:ind w:firstLine="851"/>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link w:val="NormalWebChar"/>
    <w:rsid w:val="003C4FB1"/>
    <w:pPr>
      <w:spacing w:after="100" w:afterAutospacing="1" w:before="100" w:beforeAutospacing="1"/>
      <w:ind w:firstLine="0"/>
    </w:pPr>
  </w:style>
  <w:style w:type="character" w:styleId="NormalWebChar" w:customStyle="1">
    <w:name w:val="Normal (Web) Char"/>
    <w:link w:val="NormalWeb"/>
    <w:rsid w:val="003C4FB1"/>
    <w:rPr>
      <w:sz w:val="24"/>
      <w:szCs w:val="24"/>
    </w:rPr>
  </w:style>
  <w:style w:type="character" w:styleId="MquinadeescreverHTML">
    <w:name w:val="HTML Typewriter"/>
    <w:rsid w:val="003C4FB1"/>
    <w:rPr>
      <w:rFonts w:ascii="Courier New" w:cs="Courier New" w:eastAsia="Courier New" w:hAnsi="Courier New"/>
      <w:sz w:val="20"/>
      <w:szCs w:val="20"/>
    </w:rPr>
  </w:style>
  <w:style w:type="paragraph" w:styleId="Recuodecorpodetexto2">
    <w:name w:val="Body Text Indent 2"/>
    <w:basedOn w:val="Normal"/>
    <w:link w:val="Recuodecorpodetexto2Char"/>
    <w:rsid w:val="003C4FB1"/>
    <w:pPr>
      <w:spacing w:line="480" w:lineRule="auto"/>
      <w:ind w:left="283" w:firstLine="0"/>
    </w:pPr>
  </w:style>
  <w:style w:type="character" w:styleId="Recuodecorpodetexto2Char" w:customStyle="1">
    <w:name w:val="Recuo de corpo de texto 2 Char"/>
    <w:link w:val="Recuodecorpodetexto2"/>
    <w:rsid w:val="003C4FB1"/>
    <w:rPr>
      <w:sz w:val="24"/>
      <w:szCs w:val="24"/>
    </w:rPr>
  </w:style>
  <w:style w:type="character" w:styleId="RodapChar" w:customStyle="1">
    <w:name w:val="Rodapé Char"/>
    <w:link w:val="Rodap"/>
    <w:uiPriority w:val="99"/>
    <w:rsid w:val="009E1151"/>
    <w:rPr>
      <w:sz w:val="24"/>
      <w:szCs w:val="24"/>
    </w:rPr>
  </w:style>
  <w:style w:type="paragraph" w:styleId="PargrafodaLista">
    <w:name w:val="List Paragraph"/>
    <w:basedOn w:val="Normal"/>
    <w:uiPriority w:val="34"/>
    <w:qFormat w:val="1"/>
    <w:rsid w:val="00236FFE"/>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3.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fisica.net/monografias/A_Energia_Nuclear_Hoje.pdf"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 Id="rId2"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6.png"/><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NCMkPolH8mh6Q6kH3yWpVmNFVA==">CgMxLjAyCGguZ2pkZ3hzOAByITFtblNNUmdfLVdRRlA4STBMNFE5ZGJxbDl5TzdrMWtUNQ==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2021-10-31T14:10:00Z</dcterms:created>
  <dc:creator>Roberto Carvalho Pereira</dc:creator>
</cp:coreProperties>
</file>